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59" w:rsidRDefault="00EB7659" w:rsidP="00EB765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Отчет научно-исследовательской деятельности </w:t>
      </w:r>
    </w:p>
    <w:p w:rsidR="00EB7659" w:rsidRPr="00EB7659" w:rsidRDefault="00EB7659" w:rsidP="00EB7659">
      <w:pPr>
        <w:jc w:val="center"/>
        <w:rPr>
          <w:b/>
          <w:sz w:val="24"/>
          <w:szCs w:val="24"/>
        </w:rPr>
      </w:pPr>
      <w:r w:rsidRPr="00EB7659">
        <w:rPr>
          <w:b/>
          <w:sz w:val="24"/>
          <w:szCs w:val="24"/>
        </w:rPr>
        <w:t xml:space="preserve">Физико-технического института </w:t>
      </w:r>
    </w:p>
    <w:p w:rsidR="00EB7659" w:rsidRDefault="00EB7659" w:rsidP="00EB7659">
      <w:pPr>
        <w:jc w:val="center"/>
        <w:rPr>
          <w:b/>
          <w:sz w:val="24"/>
          <w:szCs w:val="24"/>
        </w:rPr>
      </w:pPr>
      <w:r w:rsidRPr="00EB7659">
        <w:rPr>
          <w:b/>
          <w:sz w:val="24"/>
          <w:szCs w:val="24"/>
        </w:rPr>
        <w:t xml:space="preserve">за 2017 год </w:t>
      </w:r>
    </w:p>
    <w:p w:rsidR="00EB7659" w:rsidRPr="00EB7659" w:rsidRDefault="00EB7659" w:rsidP="00EB7659">
      <w:pPr>
        <w:jc w:val="center"/>
        <w:rPr>
          <w:sz w:val="24"/>
          <w:szCs w:val="24"/>
        </w:rPr>
      </w:pPr>
    </w:p>
    <w:p w:rsidR="00EB7659" w:rsidRPr="00EB7659" w:rsidRDefault="00EB7659" w:rsidP="00EB7659">
      <w:pPr>
        <w:pStyle w:val="a3"/>
        <w:ind w:firstLine="360"/>
        <w:jc w:val="both"/>
        <w:rPr>
          <w:color w:val="FF0000"/>
          <w:szCs w:val="24"/>
        </w:rPr>
      </w:pPr>
      <w:r w:rsidRPr="00EB7659">
        <w:rPr>
          <w:szCs w:val="24"/>
        </w:rPr>
        <w:t xml:space="preserve">1. </w:t>
      </w:r>
      <w:r w:rsidRPr="00EB7659">
        <w:rPr>
          <w:b/>
          <w:szCs w:val="24"/>
        </w:rPr>
        <w:t>Приоритетным направлением научной деятельности</w:t>
      </w:r>
      <w:r w:rsidRPr="00EB7659">
        <w:rPr>
          <w:szCs w:val="24"/>
        </w:rPr>
        <w:t xml:space="preserve">  в соответствии с утверждённым тематическим планом НИР ФТИ является: «Теоретические и экспериментальные исследования физических явлений в различных средах».</w:t>
      </w:r>
    </w:p>
    <w:p w:rsidR="00EB7659" w:rsidRPr="00EB7659" w:rsidRDefault="00EB7659" w:rsidP="00EB7659">
      <w:pPr>
        <w:pStyle w:val="a3"/>
        <w:ind w:firstLine="360"/>
        <w:jc w:val="both"/>
        <w:rPr>
          <w:szCs w:val="24"/>
        </w:rPr>
      </w:pPr>
      <w:r w:rsidRPr="00EB7659">
        <w:rPr>
          <w:szCs w:val="24"/>
        </w:rPr>
        <w:t>2. Т</w:t>
      </w:r>
      <w:r w:rsidRPr="00EB7659">
        <w:rPr>
          <w:b/>
          <w:szCs w:val="24"/>
        </w:rPr>
        <w:t>ематический план НИР</w:t>
      </w:r>
      <w:r w:rsidRPr="00EB7659">
        <w:rPr>
          <w:szCs w:val="24"/>
        </w:rPr>
        <w:t xml:space="preserve"> 2017 г. включает в себя 20 инициативных, 1 проектное финансирование и 11 финансируемых тем:</w:t>
      </w:r>
    </w:p>
    <w:p w:rsidR="00EB7659" w:rsidRPr="00EB7659" w:rsidRDefault="00EB7659" w:rsidP="00EB7659">
      <w:pPr>
        <w:pStyle w:val="a8"/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РФФИ </w:t>
      </w:r>
      <w:r w:rsidRPr="00EB7659">
        <w:rPr>
          <w:bCs/>
          <w:sz w:val="24"/>
          <w:szCs w:val="24"/>
        </w:rPr>
        <w:t xml:space="preserve">15-41-05081-р_восток_а. «Новые методы решения трехмерных задач классической и микрополярной теорий упругости, применимые в геомеханике мерзлых пород». (2015-17). </w:t>
      </w:r>
      <w:r w:rsidRPr="00EB7659">
        <w:rPr>
          <w:rStyle w:val="a7"/>
          <w:b w:val="0"/>
          <w:sz w:val="24"/>
          <w:szCs w:val="24"/>
        </w:rPr>
        <w:t xml:space="preserve">Науч. рук. Григорьев Ю.М. </w:t>
      </w:r>
      <w:r w:rsidRPr="00EB7659">
        <w:rPr>
          <w:sz w:val="24"/>
          <w:szCs w:val="24"/>
        </w:rPr>
        <w:t>Объем финансирования –400 т.руб. . финансирование через АН РС(Я)</w:t>
      </w:r>
    </w:p>
    <w:p w:rsidR="00EB7659" w:rsidRPr="00EB7659" w:rsidRDefault="00EB7659" w:rsidP="00EB7659">
      <w:pPr>
        <w:pStyle w:val="a3"/>
        <w:numPr>
          <w:ilvl w:val="0"/>
          <w:numId w:val="5"/>
        </w:numPr>
        <w:jc w:val="both"/>
        <w:rPr>
          <w:szCs w:val="24"/>
        </w:rPr>
      </w:pPr>
      <w:r w:rsidRPr="00EB7659">
        <w:rPr>
          <w:color w:val="000000"/>
          <w:szCs w:val="24"/>
        </w:rPr>
        <w:t>ВТК 2.5.35 АН РС(Я). «</w:t>
      </w:r>
      <w:r w:rsidRPr="00EB7659">
        <w:rPr>
          <w:rStyle w:val="apple-style-span"/>
          <w:szCs w:val="24"/>
        </w:rPr>
        <w:t xml:space="preserve">Влияние геомагнитного поля и излучений молниевых разрядов на технические системы в условиях многолетней мерзлоты». (2017). </w:t>
      </w:r>
      <w:r w:rsidRPr="00EB7659">
        <w:rPr>
          <w:rStyle w:val="a7"/>
          <w:b w:val="0"/>
          <w:szCs w:val="24"/>
        </w:rPr>
        <w:t>Науч. рук. Григорьев Ю.М.</w:t>
      </w:r>
      <w:r w:rsidRPr="00EB7659">
        <w:rPr>
          <w:szCs w:val="24"/>
        </w:rPr>
        <w:t xml:space="preserve"> Финансирование через АН РС(Я).</w:t>
      </w:r>
    </w:p>
    <w:p w:rsidR="00EB7659" w:rsidRPr="00EB7659" w:rsidRDefault="00EB7659" w:rsidP="00EB765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Проект 12 АН РС(Я) КЯНЭ «Разработка технологий получения углеродных наноматериалов и полимерных нанокомпозитов на основе якутского природного графита»</w:t>
      </w:r>
      <w:r w:rsidRPr="00EB7659">
        <w:rPr>
          <w:color w:val="444444"/>
          <w:sz w:val="24"/>
          <w:szCs w:val="24"/>
          <w:shd w:val="clear" w:color="auto" w:fill="F2F2F2"/>
        </w:rPr>
        <w:t xml:space="preserve"> </w:t>
      </w:r>
      <w:r w:rsidRPr="00EB7659">
        <w:rPr>
          <w:rStyle w:val="a7"/>
          <w:b w:val="0"/>
          <w:sz w:val="24"/>
          <w:szCs w:val="24"/>
        </w:rPr>
        <w:t xml:space="preserve">Науч. рук. Смагулова С.А. </w:t>
      </w:r>
      <w:r w:rsidRPr="00EB7659">
        <w:rPr>
          <w:sz w:val="24"/>
          <w:szCs w:val="24"/>
        </w:rPr>
        <w:t>Объем финансирования –320 т.руб.</w:t>
      </w:r>
    </w:p>
    <w:p w:rsidR="00EB7659" w:rsidRPr="00EB7659" w:rsidRDefault="00EB7659" w:rsidP="00EB7659">
      <w:pPr>
        <w:pStyle w:val="a3"/>
        <w:numPr>
          <w:ilvl w:val="0"/>
          <w:numId w:val="4"/>
        </w:numPr>
        <w:jc w:val="both"/>
        <w:rPr>
          <w:szCs w:val="24"/>
        </w:rPr>
      </w:pPr>
      <w:bookmarkStart w:id="1" w:name="OLE_LINK60"/>
      <w:bookmarkStart w:id="2" w:name="OLE_LINK61"/>
      <w:r w:rsidRPr="00EB7659">
        <w:rPr>
          <w:rStyle w:val="a7"/>
          <w:b w:val="0"/>
          <w:bCs w:val="0"/>
          <w:szCs w:val="24"/>
        </w:rPr>
        <w:t xml:space="preserve">Проект 15-08-01977 РФФИ (2015-2017) «Экспериментальное исследование процесса функционализации графеновых пленок олигонуклеотидами для разработки физико-технологических основ биологических наносенсоров». </w:t>
      </w:r>
      <w:r w:rsidRPr="00EB7659">
        <w:rPr>
          <w:rStyle w:val="a7"/>
          <w:b w:val="0"/>
          <w:szCs w:val="24"/>
        </w:rPr>
        <w:t xml:space="preserve">Науч. рук. Смагулова С.А. </w:t>
      </w:r>
      <w:r w:rsidRPr="00EB7659">
        <w:rPr>
          <w:szCs w:val="24"/>
        </w:rPr>
        <w:t>Объем финансирования –320 т.руб.</w:t>
      </w:r>
    </w:p>
    <w:bookmarkEnd w:id="1"/>
    <w:bookmarkEnd w:id="2"/>
    <w:p w:rsidR="00EB7659" w:rsidRPr="00EB7659" w:rsidRDefault="00EB7659" w:rsidP="00EB7659">
      <w:pPr>
        <w:pStyle w:val="a3"/>
        <w:numPr>
          <w:ilvl w:val="0"/>
          <w:numId w:val="4"/>
        </w:numPr>
        <w:jc w:val="both"/>
        <w:rPr>
          <w:rStyle w:val="a7"/>
          <w:b w:val="0"/>
          <w:bCs w:val="0"/>
          <w:szCs w:val="24"/>
        </w:rPr>
      </w:pPr>
      <w:r w:rsidRPr="00EB7659">
        <w:rPr>
          <w:rStyle w:val="a7"/>
          <w:b w:val="0"/>
          <w:bCs w:val="0"/>
          <w:szCs w:val="24"/>
        </w:rPr>
        <w:t xml:space="preserve">Проект № 16-31-60045 РФФИ (2016-2018). «Задачи кватернионной трехмерной аппроксимации и интерполяции с приложениями к математической физике». </w:t>
      </w:r>
      <w:r w:rsidRPr="00EB7659">
        <w:rPr>
          <w:rStyle w:val="a7"/>
          <w:b w:val="0"/>
          <w:szCs w:val="24"/>
        </w:rPr>
        <w:t>Науч. рук. Легатюк Д.И. Объем финансирования – 1700000 руб.</w:t>
      </w:r>
    </w:p>
    <w:p w:rsidR="00EB7659" w:rsidRPr="00EB7659" w:rsidRDefault="00EB7659" w:rsidP="00EB7659">
      <w:pPr>
        <w:pStyle w:val="a8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7659">
        <w:rPr>
          <w:sz w:val="24"/>
          <w:szCs w:val="24"/>
        </w:rPr>
        <w:t xml:space="preserve">Проект № МОиН РФ (2016-2017). «Организация проведения научных исследований». </w:t>
      </w:r>
      <w:r w:rsidRPr="00EB7659">
        <w:rPr>
          <w:rStyle w:val="a7"/>
          <w:b w:val="0"/>
          <w:sz w:val="24"/>
          <w:szCs w:val="24"/>
        </w:rPr>
        <w:t xml:space="preserve">Науч. рук. Смагулова С.А. </w:t>
      </w:r>
      <w:r w:rsidRPr="00EB7659">
        <w:rPr>
          <w:sz w:val="24"/>
          <w:szCs w:val="24"/>
        </w:rPr>
        <w:t xml:space="preserve"> Объем финансирования 30</w:t>
      </w:r>
      <w:r w:rsidRPr="00EB7659">
        <w:rPr>
          <w:color w:val="000000"/>
          <w:sz w:val="24"/>
          <w:szCs w:val="24"/>
        </w:rPr>
        <w:t>0 т. руб.</w:t>
      </w:r>
    </w:p>
    <w:p w:rsidR="00EB7659" w:rsidRPr="00EB7659" w:rsidRDefault="00EB7659" w:rsidP="00EB7659">
      <w:pPr>
        <w:pStyle w:val="a3"/>
        <w:numPr>
          <w:ilvl w:val="0"/>
          <w:numId w:val="4"/>
        </w:numPr>
        <w:jc w:val="both"/>
        <w:rPr>
          <w:szCs w:val="24"/>
        </w:rPr>
      </w:pPr>
      <w:r w:rsidRPr="00EB7659">
        <w:rPr>
          <w:szCs w:val="24"/>
        </w:rPr>
        <w:t xml:space="preserve">Проект №1 АК «Алроса». Х/д. (2017). «Исследование возможности миграции трития и углерода 14 из полости подземного ядерного взрыва «Кристалл» в рудник «Удачный» с дренажными напорными рассолами. Определение содержания радионуклидов в оборотных водах фабрики №12 и Сытыкансого водохранилища». </w:t>
      </w:r>
      <w:r w:rsidRPr="00EB7659">
        <w:rPr>
          <w:rStyle w:val="a7"/>
          <w:b w:val="0"/>
          <w:szCs w:val="24"/>
        </w:rPr>
        <w:t xml:space="preserve">Науч. рук. Степанов В.Е. </w:t>
      </w:r>
      <w:r w:rsidRPr="00EB7659">
        <w:rPr>
          <w:szCs w:val="24"/>
        </w:rPr>
        <w:t>Объем финансирования –499 т.руб.</w:t>
      </w:r>
    </w:p>
    <w:p w:rsidR="00EB7659" w:rsidRPr="00EB7659" w:rsidRDefault="00EB7659" w:rsidP="00EB765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НОФМУ РС(Я) «Академическая мобильность» НОФМУ РС(Я) №260 «Суспензия оксида графена, синтезированная электрохимическим методом, для 2</w:t>
      </w:r>
      <w:r w:rsidRPr="00EB7659">
        <w:rPr>
          <w:sz w:val="24"/>
          <w:szCs w:val="24"/>
          <w:lang w:val="en-US"/>
        </w:rPr>
        <w:t>D</w:t>
      </w:r>
      <w:r w:rsidRPr="00EB7659">
        <w:rPr>
          <w:sz w:val="24"/>
          <w:szCs w:val="24"/>
        </w:rPr>
        <w:t xml:space="preserve"> печати» Науч. рук. Васильева Ф.Д. Обьем финансирования  30,8 тыс. руб.</w:t>
      </w:r>
    </w:p>
    <w:p w:rsidR="00EB7659" w:rsidRPr="00EB7659" w:rsidRDefault="00EB7659" w:rsidP="00EB765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НОФМУ РС(Я) «Академическая мобильность» №259 «Синтез углеродных квантовых точек с настраиваемой люминесценцией». Науч. рук. Томская А.И. Обьем финансирования – 26,2 тыс. руб.</w:t>
      </w:r>
    </w:p>
    <w:p w:rsidR="00EB7659" w:rsidRPr="00EB7659" w:rsidRDefault="00EB7659" w:rsidP="00EB765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НОФМУ РС(Я) «Академическая мобильность» №247 Сравнительный анализ структурных и электрических свойств фторированного, гидрированного и окисленного Науч. рук. Куркина И.И. Обьем финансирования – 39,4 тыс. руб.</w:t>
      </w:r>
    </w:p>
    <w:p w:rsidR="00EB7659" w:rsidRPr="00EB7659" w:rsidRDefault="00EB7659" w:rsidP="00EB765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B7659">
        <w:rPr>
          <w:bCs/>
          <w:color w:val="000000"/>
          <w:sz w:val="24"/>
          <w:szCs w:val="24"/>
          <w:shd w:val="clear" w:color="auto" w:fill="FFFFFF"/>
        </w:rPr>
        <w:t xml:space="preserve">РФФИ 18-010-01147 р_а </w:t>
      </w:r>
      <w:r w:rsidRPr="00EB7659">
        <w:rPr>
          <w:color w:val="000000"/>
          <w:sz w:val="24"/>
          <w:szCs w:val="24"/>
          <w:shd w:val="clear" w:color="auto" w:fill="FFFFFF"/>
        </w:rPr>
        <w:t>Разработка методики комплексной оценки эффективности использования и развития возобновляемых источников энергии в энергоизолированных территориях Северо-Востока России. Науч. рук. Бурянина Н.С. Обьем финансирования - 700 тыс.рублей. (10 исполнителей)</w:t>
      </w:r>
    </w:p>
    <w:p w:rsidR="00EB7659" w:rsidRPr="00EB7659" w:rsidRDefault="00EB7659" w:rsidP="00EB7659">
      <w:pPr>
        <w:pStyle w:val="a3"/>
        <w:ind w:firstLine="360"/>
        <w:jc w:val="both"/>
        <w:rPr>
          <w:szCs w:val="24"/>
        </w:rPr>
      </w:pPr>
      <w:r w:rsidRPr="00EB7659">
        <w:rPr>
          <w:szCs w:val="24"/>
        </w:rPr>
        <w:t xml:space="preserve">3. </w:t>
      </w:r>
      <w:r w:rsidRPr="00EB7659">
        <w:rPr>
          <w:b/>
          <w:szCs w:val="24"/>
        </w:rPr>
        <w:t>Структура финансирования НИР.</w:t>
      </w:r>
      <w:r w:rsidRPr="00EB7659">
        <w:rPr>
          <w:szCs w:val="24"/>
        </w:rPr>
        <w:t xml:space="preserve"> Общий объем финансирования – </w:t>
      </w:r>
      <w:r w:rsidRPr="00EB7659">
        <w:rPr>
          <w:bCs/>
          <w:szCs w:val="24"/>
        </w:rPr>
        <w:t>11107,4 тыс.руб.,</w:t>
      </w:r>
      <w:r w:rsidRPr="00EB7659">
        <w:rPr>
          <w:szCs w:val="24"/>
        </w:rPr>
        <w:t xml:space="preserve"> в т.ч. из бюджета РФ - 9172 тыс. руб., из бюджета РС(Я) – 1436,4 тыс.руб., по хоздоговорным темам – 499 тыс.руб.. Объем финансирования на 1 НПР составил  150,1 тыс. руб. </w:t>
      </w:r>
    </w:p>
    <w:p w:rsidR="00EB7659" w:rsidRDefault="00EB7659" w:rsidP="00EB7659">
      <w:pPr>
        <w:pStyle w:val="a3"/>
        <w:ind w:firstLine="360"/>
        <w:jc w:val="both"/>
        <w:rPr>
          <w:szCs w:val="24"/>
        </w:rPr>
      </w:pPr>
    </w:p>
    <w:p w:rsidR="00EB7659" w:rsidRPr="00EB7659" w:rsidRDefault="00EB7659" w:rsidP="00EB7659">
      <w:pPr>
        <w:pStyle w:val="a3"/>
        <w:ind w:firstLine="360"/>
        <w:jc w:val="both"/>
        <w:rPr>
          <w:b/>
          <w:szCs w:val="24"/>
        </w:rPr>
      </w:pPr>
      <w:r w:rsidRPr="00EB7659">
        <w:rPr>
          <w:szCs w:val="24"/>
        </w:rPr>
        <w:lastRenderedPageBreak/>
        <w:t>4.</w:t>
      </w:r>
      <w:r w:rsidRPr="00EB7659">
        <w:rPr>
          <w:b/>
          <w:szCs w:val="24"/>
        </w:rPr>
        <w:t xml:space="preserve"> Значимые научные результаты по приоритетным направлениям фундаментальных и прикладных исследований.</w:t>
      </w:r>
    </w:p>
    <w:p w:rsidR="00EB7659" w:rsidRPr="00EB7659" w:rsidRDefault="00EB7659" w:rsidP="00EB7659">
      <w:pPr>
        <w:jc w:val="both"/>
        <w:rPr>
          <w:color w:val="000000"/>
          <w:sz w:val="24"/>
          <w:szCs w:val="24"/>
        </w:rPr>
      </w:pPr>
      <w:r w:rsidRPr="00EB7659">
        <w:rPr>
          <w:color w:val="000000"/>
          <w:sz w:val="24"/>
          <w:szCs w:val="24"/>
        </w:rPr>
        <w:t>По итогам НИР за 2017 г. наиболее значимыми признаны следующие результаты:</w:t>
      </w:r>
    </w:p>
    <w:p w:rsidR="00EB7659" w:rsidRPr="00EB7659" w:rsidRDefault="00EB7659" w:rsidP="00EB7659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EB7659">
        <w:rPr>
          <w:rFonts w:eastAsia="Calibri"/>
          <w:i/>
          <w:color w:val="000000"/>
          <w:sz w:val="24"/>
          <w:szCs w:val="24"/>
        </w:rPr>
        <w:t xml:space="preserve">Григорьев Ю.М. </w:t>
      </w:r>
      <w:r w:rsidRPr="00EB7659">
        <w:rPr>
          <w:rFonts w:eastAsia="Calibri"/>
          <w:color w:val="000000"/>
          <w:sz w:val="24"/>
          <w:szCs w:val="24"/>
        </w:rPr>
        <w:t xml:space="preserve">Показана возможность существования сдвиговых поверхностных волн в полуплоскости в микрополярной теории упругости, проанализировано соответствующее дисперсионное уравнение. Разработан и реализован метод регуляризованного аналитического решения задачи Коши для упругого прямоугольника. Решение получено в виде суммы рядов Фурье с тремя независимыми параметрами регуляризации. Доказаны теоремы о сходимости рядов в решении, теорема об оценке отклонения регуляризованного приближенного решения от точного. Метод может быть применен и для трехмерного параллелепипеда. </w:t>
      </w:r>
      <w:r w:rsidRPr="00EB7659">
        <w:rPr>
          <w:rFonts w:eastAsia="Calibri"/>
          <w:sz w:val="24"/>
          <w:szCs w:val="24"/>
        </w:rPr>
        <w:t>Метод может быть использован для восстановления полей деформаций и напряжений внутри области по данным измерений на доступной части границы</w:t>
      </w:r>
    </w:p>
    <w:p w:rsidR="00EB7659" w:rsidRDefault="00EB7659" w:rsidP="00EB76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B7659">
        <w:rPr>
          <w:i/>
          <w:color w:val="000000"/>
          <w:sz w:val="24"/>
          <w:szCs w:val="24"/>
        </w:rPr>
        <w:t>Смагулова С.А.</w:t>
      </w:r>
      <w:r w:rsidRPr="00EB7659">
        <w:rPr>
          <w:color w:val="000000"/>
          <w:sz w:val="24"/>
          <w:szCs w:val="24"/>
        </w:rPr>
        <w:t xml:space="preserve"> </w:t>
      </w:r>
      <w:r w:rsidR="00D13B8A">
        <w:rPr>
          <w:color w:val="000000"/>
          <w:sz w:val="24"/>
          <w:szCs w:val="24"/>
        </w:rPr>
        <w:t>УНТЛ «Графеновые нанотехнологии».</w:t>
      </w:r>
    </w:p>
    <w:p w:rsidR="00EB7659" w:rsidRDefault="00EB7659" w:rsidP="00EB7659">
      <w:pPr>
        <w:rPr>
          <w:b/>
          <w:sz w:val="24"/>
          <w:szCs w:val="24"/>
        </w:rPr>
      </w:pPr>
      <w:r w:rsidRPr="00345A3C">
        <w:rPr>
          <w:b/>
          <w:sz w:val="24"/>
          <w:szCs w:val="24"/>
        </w:rPr>
        <w:t>Разработка и создание гибких прозрачных графеновых сенсорных экранов</w:t>
      </w:r>
    </w:p>
    <w:p w:rsidR="00EB7659" w:rsidRDefault="00EB7659" w:rsidP="00EB76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Сущность: </w:t>
      </w:r>
      <w:r w:rsidRPr="0043075B">
        <w:rPr>
          <w:rFonts w:eastAsia="Calibri"/>
          <w:color w:val="000000"/>
          <w:sz w:val="24"/>
          <w:szCs w:val="24"/>
        </w:rPr>
        <w:t xml:space="preserve">В настоящее время графен является новым перспективным материалом  для создания сенсорных </w:t>
      </w:r>
      <w:r>
        <w:rPr>
          <w:rFonts w:eastAsia="Calibri"/>
          <w:color w:val="000000"/>
          <w:sz w:val="24"/>
          <w:szCs w:val="24"/>
        </w:rPr>
        <w:t>панелей</w:t>
      </w:r>
      <w:r w:rsidRPr="0043075B">
        <w:rPr>
          <w:rFonts w:eastAsia="Calibri"/>
          <w:color w:val="000000"/>
          <w:sz w:val="24"/>
          <w:szCs w:val="24"/>
        </w:rPr>
        <w:t xml:space="preserve">, благодаря своим уникальным свойствам, такими как </w:t>
      </w:r>
      <w:r>
        <w:rPr>
          <w:rFonts w:eastAsia="Calibri"/>
          <w:color w:val="000000"/>
          <w:sz w:val="24"/>
          <w:szCs w:val="24"/>
        </w:rPr>
        <w:t xml:space="preserve">высокая </w:t>
      </w:r>
      <w:r w:rsidRPr="0043075B">
        <w:rPr>
          <w:rFonts w:eastAsia="Calibri"/>
          <w:color w:val="000000"/>
          <w:sz w:val="24"/>
          <w:szCs w:val="24"/>
        </w:rPr>
        <w:t>проводимость, прозрачность, св</w:t>
      </w:r>
      <w:r>
        <w:rPr>
          <w:rFonts w:eastAsia="Calibri"/>
          <w:color w:val="000000"/>
          <w:sz w:val="24"/>
          <w:szCs w:val="24"/>
        </w:rPr>
        <w:t xml:space="preserve">ерхвысокая прочность и гибкость. </w:t>
      </w:r>
      <w:r>
        <w:rPr>
          <w:sz w:val="24"/>
          <w:szCs w:val="24"/>
        </w:rPr>
        <w:t xml:space="preserve">Химическое осаждение графена из газовой фазы (метод </w:t>
      </w:r>
      <w:r>
        <w:rPr>
          <w:sz w:val="24"/>
          <w:szCs w:val="24"/>
          <w:lang w:val="en-US"/>
        </w:rPr>
        <w:t>CVD</w:t>
      </w:r>
      <w:r w:rsidRPr="00FF5AAC">
        <w:rPr>
          <w:sz w:val="24"/>
          <w:szCs w:val="24"/>
        </w:rPr>
        <w:t>)</w:t>
      </w:r>
      <w:r>
        <w:rPr>
          <w:sz w:val="24"/>
          <w:szCs w:val="24"/>
        </w:rPr>
        <w:t xml:space="preserve"> является одним из наиболее перспективных методов синтеза графеновых пленок большой площади, которые могут применяться для создания гибких прозрачных проводящих сенсорных экранов и электродов.</w:t>
      </w:r>
    </w:p>
    <w:p w:rsidR="00EB7659" w:rsidRDefault="00EB7659" w:rsidP="00EB76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Новизна:</w:t>
      </w:r>
      <w:r w:rsidRPr="005B4209">
        <w:t xml:space="preserve"> </w:t>
      </w:r>
      <w:r>
        <w:rPr>
          <w:sz w:val="24"/>
          <w:szCs w:val="24"/>
        </w:rPr>
        <w:t>В настоящее время во всем мире растет интерес к гибкой электронике. Гибкая электроника</w:t>
      </w:r>
      <w:r w:rsidRPr="00037698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лагает создание </w:t>
      </w:r>
      <w:r w:rsidRPr="00037698">
        <w:rPr>
          <w:sz w:val="24"/>
          <w:szCs w:val="24"/>
        </w:rPr>
        <w:t>совершенно новы</w:t>
      </w:r>
      <w:r>
        <w:rPr>
          <w:sz w:val="24"/>
          <w:szCs w:val="24"/>
        </w:rPr>
        <w:t>х</w:t>
      </w:r>
      <w:r w:rsidRPr="00037698">
        <w:rPr>
          <w:sz w:val="24"/>
          <w:szCs w:val="24"/>
        </w:rPr>
        <w:t xml:space="preserve"> электронны</w:t>
      </w:r>
      <w:r>
        <w:rPr>
          <w:sz w:val="24"/>
          <w:szCs w:val="24"/>
        </w:rPr>
        <w:t>х</w:t>
      </w:r>
      <w:r w:rsidRPr="00037698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>.</w:t>
      </w:r>
      <w:r w:rsidRPr="00037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и </w:t>
      </w:r>
      <w:r w:rsidRPr="00037698">
        <w:rPr>
          <w:sz w:val="24"/>
          <w:szCs w:val="24"/>
        </w:rPr>
        <w:t>крошечные смартфоны, которые оборачиваются вокруг запястий, и гибкие дисплеи, которые разворачиваются из тонкого свитка до размера огромного телевизора.</w:t>
      </w:r>
    </w:p>
    <w:p w:rsidR="00EB7659" w:rsidRDefault="00EB7659" w:rsidP="00EB76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Значимость:</w:t>
      </w:r>
      <w:r w:rsidRPr="00505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Графеновые </w:t>
      </w:r>
      <w:r w:rsidRPr="003859CD">
        <w:rPr>
          <w:sz w:val="24"/>
          <w:szCs w:val="24"/>
        </w:rPr>
        <w:t xml:space="preserve">пленки прозрачны и могут быть согнуты и растянуты без потери электрических свойств. </w:t>
      </w:r>
      <w:r>
        <w:rPr>
          <w:sz w:val="24"/>
          <w:szCs w:val="24"/>
        </w:rPr>
        <w:t>О</w:t>
      </w:r>
      <w:r w:rsidRPr="003859CD">
        <w:rPr>
          <w:sz w:val="24"/>
          <w:szCs w:val="24"/>
        </w:rPr>
        <w:t>жидает</w:t>
      </w:r>
      <w:r>
        <w:rPr>
          <w:sz w:val="24"/>
          <w:szCs w:val="24"/>
        </w:rPr>
        <w:t>ся</w:t>
      </w:r>
      <w:r w:rsidRPr="003859CD">
        <w:rPr>
          <w:sz w:val="24"/>
          <w:szCs w:val="24"/>
        </w:rPr>
        <w:t xml:space="preserve">, что прозрачные электроды станут первой областью применения графена, где он заменит оксиды индия и олова, которые часто применяются для создания прозрачных электродов в плоских дисплеях, сенсорных экранов и солнечных батарей. При этом </w:t>
      </w:r>
      <w:r>
        <w:rPr>
          <w:sz w:val="24"/>
          <w:szCs w:val="24"/>
        </w:rPr>
        <w:t>оксид индия-олова</w:t>
      </w:r>
      <w:r w:rsidRPr="003859CD">
        <w:rPr>
          <w:sz w:val="24"/>
          <w:szCs w:val="24"/>
        </w:rPr>
        <w:t xml:space="preserve"> отличается хрупкостью, а графен является более гибким материало</w:t>
      </w:r>
      <w:r>
        <w:rPr>
          <w:sz w:val="24"/>
          <w:szCs w:val="24"/>
        </w:rPr>
        <w:t xml:space="preserve">м. </w:t>
      </w:r>
    </w:p>
    <w:p w:rsidR="00EB7659" w:rsidRDefault="00EB7659" w:rsidP="00EB7659">
      <w:pPr>
        <w:pStyle w:val="a8"/>
        <w:ind w:left="142"/>
        <w:jc w:val="both"/>
        <w:rPr>
          <w:sz w:val="24"/>
          <w:szCs w:val="24"/>
        </w:rPr>
      </w:pPr>
      <w:r w:rsidRPr="00615E52">
        <w:rPr>
          <w:b/>
          <w:sz w:val="24"/>
          <w:szCs w:val="24"/>
        </w:rPr>
        <w:t>Прогноз применения:</w:t>
      </w:r>
      <w:r>
        <w:rPr>
          <w:b/>
          <w:sz w:val="24"/>
          <w:szCs w:val="24"/>
        </w:rPr>
        <w:t xml:space="preserve"> </w:t>
      </w:r>
      <w:r w:rsidRPr="00615E52">
        <w:rPr>
          <w:sz w:val="24"/>
          <w:szCs w:val="24"/>
        </w:rPr>
        <w:t>Г</w:t>
      </w:r>
      <w:r w:rsidRPr="00037698">
        <w:rPr>
          <w:sz w:val="24"/>
          <w:szCs w:val="24"/>
        </w:rPr>
        <w:t xml:space="preserve">ибкая электроника означает более дешевое производство. Разработка </w:t>
      </w:r>
      <w:r>
        <w:rPr>
          <w:sz w:val="24"/>
          <w:szCs w:val="24"/>
        </w:rPr>
        <w:t>гибких экранов</w:t>
      </w:r>
      <w:r w:rsidRPr="00037698">
        <w:rPr>
          <w:sz w:val="24"/>
          <w:szCs w:val="24"/>
        </w:rPr>
        <w:t xml:space="preserve"> будет пользоваться большим спросом.</w:t>
      </w:r>
      <w:r>
        <w:rPr>
          <w:sz w:val="24"/>
          <w:szCs w:val="24"/>
        </w:rPr>
        <w:t xml:space="preserve"> </w:t>
      </w:r>
      <w:r w:rsidRPr="004C0A13">
        <w:rPr>
          <w:sz w:val="24"/>
          <w:szCs w:val="24"/>
        </w:rPr>
        <w:t xml:space="preserve">Ожидается, что тенденция к переходу на гибкую электронику будет ежегодно возрастать на несколько десятков процентов в следующее десятилетие. </w:t>
      </w:r>
      <w:r>
        <w:rPr>
          <w:sz w:val="24"/>
          <w:szCs w:val="24"/>
        </w:rPr>
        <w:t>Все это определяет актуальность исследуемой темы.</w:t>
      </w:r>
    </w:p>
    <w:p w:rsidR="00EB7659" w:rsidRPr="0052688F" w:rsidRDefault="00EB7659" w:rsidP="00EB76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Методом химического газофазного осаждения проведен синтез графеновых пленок, которые являются сплошными и имеют площади 50-100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</w:t>
      </w:r>
      <w:r w:rsidRPr="0052688F">
        <w:rPr>
          <w:sz w:val="24"/>
          <w:szCs w:val="24"/>
        </w:rPr>
        <w:t>В качестве источника углерода использовался метан</w:t>
      </w:r>
      <w:r>
        <w:rPr>
          <w:sz w:val="24"/>
          <w:szCs w:val="24"/>
        </w:rPr>
        <w:t>, а в качестве подложки использовалась медная фольга</w:t>
      </w:r>
      <w:r w:rsidRPr="006844DD">
        <w:rPr>
          <w:sz w:val="24"/>
          <w:szCs w:val="24"/>
        </w:rPr>
        <w:t>.</w:t>
      </w:r>
      <w:r>
        <w:rPr>
          <w:sz w:val="24"/>
          <w:szCs w:val="24"/>
        </w:rPr>
        <w:t xml:space="preserve">  Определены толщины синтезированных графеновых пленок, которые лежат в интервале </w:t>
      </w:r>
      <w:r w:rsidRPr="0052688F">
        <w:rPr>
          <w:sz w:val="24"/>
          <w:szCs w:val="24"/>
        </w:rPr>
        <w:t>1-5 нм.</w:t>
      </w:r>
    </w:p>
    <w:p w:rsidR="00EB7659" w:rsidRPr="00CC54F6" w:rsidRDefault="00EB7659" w:rsidP="00EB7659">
      <w:pPr>
        <w:pStyle w:val="a8"/>
        <w:ind w:left="142"/>
        <w:jc w:val="both"/>
        <w:rPr>
          <w:sz w:val="24"/>
          <w:szCs w:val="24"/>
        </w:rPr>
      </w:pPr>
      <w:r w:rsidRPr="00CC54F6">
        <w:rPr>
          <w:sz w:val="24"/>
          <w:szCs w:val="24"/>
        </w:rPr>
        <w:t>Разработаны и освоены несколько методов переноса графена на диэлектрические подложки, таких как оксид кремния и гибкая пленка  полиэтилентерефталата.  На основе синтезированных графеновых пленок создана гибкая прозрачная проводящяя сенсорная панель</w:t>
      </w:r>
      <w:r>
        <w:rPr>
          <w:sz w:val="24"/>
          <w:szCs w:val="24"/>
        </w:rPr>
        <w:t>, показанная на рис.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1"/>
        <w:gridCol w:w="4460"/>
      </w:tblGrid>
      <w:tr w:rsidR="00EB7659" w:rsidTr="00225DD7">
        <w:tc>
          <w:tcPr>
            <w:tcW w:w="4851" w:type="dxa"/>
          </w:tcPr>
          <w:p w:rsidR="00EB7659" w:rsidRDefault="00EB7659" w:rsidP="00225DD7">
            <w:pPr>
              <w:pStyle w:val="aa"/>
              <w:spacing w:line="360" w:lineRule="auto"/>
              <w:contextualSpacing/>
              <w:jc w:val="both"/>
            </w:pPr>
            <w:r w:rsidRPr="00D24631">
              <w:rPr>
                <w:noProof/>
              </w:rPr>
              <w:lastRenderedPageBreak/>
              <w:drawing>
                <wp:inline distT="0" distB="0" distL="0" distR="0" wp14:anchorId="32D8B423" wp14:editId="3E8371FD">
                  <wp:extent cx="2171809" cy="1570021"/>
                  <wp:effectExtent l="19050" t="0" r="0" b="0"/>
                  <wp:docPr id="4" name="Рисунок 21" descr="C:\Users\Aysen\Desktop\Cотрудники\Вася\2017 год\Прозрачный графеновй экран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ysen\Desktop\Cотрудники\Вася\2017 год\Прозрачный графеновй экран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57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EB7659" w:rsidRDefault="00EB7659" w:rsidP="00225DD7">
            <w:pPr>
              <w:pStyle w:val="aa"/>
              <w:spacing w:line="360" w:lineRule="auto"/>
              <w:contextualSpacing/>
              <w:jc w:val="both"/>
            </w:pPr>
            <w:r w:rsidRPr="00D24631">
              <w:rPr>
                <w:noProof/>
              </w:rPr>
              <w:drawing>
                <wp:inline distT="0" distB="0" distL="0" distR="0" wp14:anchorId="53B8D77E" wp14:editId="752FDBC8">
                  <wp:extent cx="2053782" cy="1539240"/>
                  <wp:effectExtent l="19050" t="0" r="3618" b="0"/>
                  <wp:docPr id="5" name="Рисунок 22" descr="C:\Users\Aysen\Desktop\Cотрудники\Вася\2017 год\Калькулятор с графеновым экраномNFHvjHJ_p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ysen\Desktop\Cотрудники\Вася\2017 год\Калькулятор с графеновым экраномNFHvjHJ_p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67" cy="153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659" w:rsidTr="00225DD7">
        <w:tc>
          <w:tcPr>
            <w:tcW w:w="4851" w:type="dxa"/>
          </w:tcPr>
          <w:p w:rsidR="00EB7659" w:rsidRPr="00CC54F6" w:rsidRDefault="00EB7659" w:rsidP="00225DD7">
            <w:pPr>
              <w:pStyle w:val="aa"/>
              <w:contextualSpacing/>
              <w:jc w:val="both"/>
              <w:rPr>
                <w:i/>
              </w:rPr>
            </w:pPr>
            <w:r w:rsidRPr="00CC54F6">
              <w:rPr>
                <w:i/>
              </w:rPr>
              <w:t>Рис. 1. Вид графеновой пленки, перенесенной на гибкую прозрачную подложку.</w:t>
            </w:r>
          </w:p>
        </w:tc>
        <w:tc>
          <w:tcPr>
            <w:tcW w:w="4720" w:type="dxa"/>
          </w:tcPr>
          <w:p w:rsidR="00EB7659" w:rsidRPr="00CC54F6" w:rsidRDefault="00EB7659" w:rsidP="00225DD7">
            <w:pPr>
              <w:pStyle w:val="aa"/>
              <w:contextualSpacing/>
              <w:jc w:val="both"/>
              <w:rPr>
                <w:i/>
              </w:rPr>
            </w:pPr>
            <w:r w:rsidRPr="00CC54F6">
              <w:rPr>
                <w:i/>
              </w:rPr>
              <w:t>Рис.2. Вид демонстрационного образца графенового сенсорного экрана</w:t>
            </w:r>
          </w:p>
        </w:tc>
      </w:tr>
    </w:tbl>
    <w:p w:rsidR="00EB7659" w:rsidRDefault="00EB7659" w:rsidP="00EB76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B7659" w:rsidRDefault="00EB7659" w:rsidP="00EB7659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Селективное определение тромбина с помощью биосенсора на графеновых наноматериалах</w:t>
      </w:r>
    </w:p>
    <w:p w:rsidR="00EB7659" w:rsidRPr="00D801BA" w:rsidRDefault="00EB7659" w:rsidP="00EB76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ущность:</w:t>
      </w:r>
      <w:r w:rsidRPr="008E2A49">
        <w:rPr>
          <w:sz w:val="26"/>
          <w:szCs w:val="26"/>
        </w:rPr>
        <w:t xml:space="preserve"> </w:t>
      </w:r>
      <w:r w:rsidRPr="00D801BA">
        <w:rPr>
          <w:sz w:val="24"/>
          <w:szCs w:val="24"/>
        </w:rPr>
        <w:t xml:space="preserve">Одним из возможных применений графена в устройствах электроники является его использование в качестве чувствительного элемента сенсоров. </w:t>
      </w:r>
    </w:p>
    <w:p w:rsidR="00EB7659" w:rsidRPr="008E2A49" w:rsidRDefault="00EB7659" w:rsidP="00EB765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Новизна:</w:t>
      </w:r>
      <w:r w:rsidRPr="008E2A49">
        <w:t xml:space="preserve"> </w:t>
      </w:r>
      <w:r>
        <w:rPr>
          <w:sz w:val="24"/>
          <w:szCs w:val="24"/>
        </w:rPr>
        <w:t>Г</w:t>
      </w:r>
      <w:r w:rsidRPr="008E2A49">
        <w:rPr>
          <w:sz w:val="24"/>
          <w:szCs w:val="24"/>
        </w:rPr>
        <w:t>рафен, явля</w:t>
      </w:r>
      <w:r>
        <w:rPr>
          <w:sz w:val="24"/>
          <w:szCs w:val="24"/>
        </w:rPr>
        <w:t>е</w:t>
      </w:r>
      <w:r w:rsidRPr="008E2A49">
        <w:rPr>
          <w:sz w:val="24"/>
          <w:szCs w:val="24"/>
        </w:rPr>
        <w:t xml:space="preserve">тся одним из перспективных материалов для создания биологических сенсоров благодаря своей биологической совместимости, высокой чувствительности и простоте изготовления сенсорных структур на их основе. Изучение новых механизмов изменения транспортных и электронных свойств графеновых пленок при иммобилизации на их поверхности функциональных участков ДНК, в том числе аптамеров, определяет </w:t>
      </w:r>
      <w:r>
        <w:rPr>
          <w:sz w:val="24"/>
          <w:szCs w:val="24"/>
        </w:rPr>
        <w:t>новизну исследуемой темы</w:t>
      </w:r>
      <w:r w:rsidRPr="008E2A49">
        <w:rPr>
          <w:sz w:val="24"/>
          <w:szCs w:val="24"/>
        </w:rPr>
        <w:t>.</w:t>
      </w:r>
    </w:p>
    <w:p w:rsidR="00EB7659" w:rsidRDefault="00EB7659" w:rsidP="00EB765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Значимость:</w:t>
      </w:r>
      <w:r w:rsidRPr="00D801BA">
        <w:t xml:space="preserve"> </w:t>
      </w:r>
      <w:r w:rsidRPr="00D801BA">
        <w:rPr>
          <w:sz w:val="24"/>
          <w:szCs w:val="24"/>
        </w:rPr>
        <w:t>Графеновые</w:t>
      </w:r>
      <w:r>
        <w:rPr>
          <w:sz w:val="24"/>
          <w:szCs w:val="24"/>
        </w:rPr>
        <w:t xml:space="preserve"> п</w:t>
      </w:r>
      <w:r w:rsidRPr="00D801BA">
        <w:rPr>
          <w:sz w:val="24"/>
          <w:szCs w:val="24"/>
        </w:rPr>
        <w:t>ленки сочетают в себе возможность простой сборки, обработки и сродство с органическими материалами, с возможностью эксплуатации ряда преимуществ неорганических мат</w:t>
      </w:r>
      <w:r>
        <w:rPr>
          <w:sz w:val="24"/>
          <w:szCs w:val="24"/>
        </w:rPr>
        <w:t>ериалов в сенсорных приложениях</w:t>
      </w:r>
      <w:r w:rsidRPr="00D801BA">
        <w:rPr>
          <w:sz w:val="24"/>
          <w:szCs w:val="24"/>
        </w:rPr>
        <w:t>. Одной из перспектив применения углеродных наноматериалов является создание сенсорных систем на гибких подложках</w:t>
      </w:r>
    </w:p>
    <w:p w:rsidR="00EB7659" w:rsidRDefault="00EB7659" w:rsidP="00EB76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Прогноз применения:</w:t>
      </w:r>
      <w:r w:rsidRPr="00D801BA">
        <w:rPr>
          <w:sz w:val="24"/>
          <w:szCs w:val="24"/>
        </w:rPr>
        <w:t xml:space="preserve"> Углеродные наноматериалы, в частности графен, являются одними из перспективных материалов для создания биологических сенсоров благодаря своей биологической совместимости, высокой чувствительности и простоте изготовления сенсорных структур на их осн</w:t>
      </w:r>
      <w:r>
        <w:rPr>
          <w:sz w:val="24"/>
          <w:szCs w:val="24"/>
        </w:rPr>
        <w:t>ове</w:t>
      </w:r>
      <w:r w:rsidRPr="00D801BA">
        <w:rPr>
          <w:sz w:val="24"/>
          <w:szCs w:val="24"/>
        </w:rPr>
        <w:t>.</w:t>
      </w:r>
    </w:p>
    <w:p w:rsidR="00EB7659" w:rsidRPr="00C12247" w:rsidRDefault="00EB7659" w:rsidP="00EB76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12247">
        <w:rPr>
          <w:sz w:val="24"/>
          <w:szCs w:val="24"/>
        </w:rPr>
        <w:t>озданы прототипы сенсорных структур на основе висящей графеновой плёнки и проведены исследования их электрических и оптических свойств. Так же на структуры проведена иммобилизация аптамеров и исследованы отклики сенсорных структур на белки тромбин и альбумин. Показано, что часть структур имеет выраженный отклик на тромбин, при этом наблюдается нелинейная зависимость величины отклика от концентрации белка в экспонируемом растворе.</w:t>
      </w:r>
    </w:p>
    <w:p w:rsidR="00EB7659" w:rsidRDefault="00EB7659" w:rsidP="00EB7659">
      <w:pPr>
        <w:jc w:val="both"/>
        <w:rPr>
          <w:sz w:val="24"/>
          <w:szCs w:val="24"/>
        </w:rPr>
      </w:pPr>
    </w:p>
    <w:p w:rsidR="00EB7659" w:rsidRDefault="00EB7659" w:rsidP="00EB7659">
      <w:pPr>
        <w:jc w:val="center"/>
        <w:rPr>
          <w:b/>
          <w:sz w:val="24"/>
          <w:szCs w:val="24"/>
        </w:rPr>
      </w:pPr>
      <w:r w:rsidRPr="00D801BA">
        <w:rPr>
          <w:noProof/>
          <w:sz w:val="24"/>
          <w:szCs w:val="24"/>
        </w:rPr>
        <w:drawing>
          <wp:inline distT="0" distB="0" distL="0" distR="0" wp14:anchorId="2EC0F249" wp14:editId="3B1BB8B4">
            <wp:extent cx="1545590" cy="1153758"/>
            <wp:effectExtent l="19050" t="0" r="0" b="0"/>
            <wp:docPr id="1" name="Рисунок 1" descr="D:\2 - РАБОЧАЯ ПАПКА\12 - БИОСЕНСОРЫ\7 - Научные группы\Якутск\Отчёт за 2016 год\картинки к отчёту\сборка сенсор_с отверстием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- РАБОЧАЯ ПАПКА\12 - БИОСЕНСОРЫ\7 - Научные группы\Якутск\Отчёт за 2016 год\картинки к отчёту\сборка сенсор_с отверстием3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r="24483"/>
                    <a:stretch/>
                  </pic:blipFill>
                  <pic:spPr bwMode="auto">
                    <a:xfrm>
                      <a:off x="0" y="0"/>
                      <a:ext cx="1547162" cy="115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01BA">
        <w:rPr>
          <w:b/>
          <w:noProof/>
          <w:sz w:val="24"/>
          <w:szCs w:val="24"/>
        </w:rPr>
        <w:drawing>
          <wp:inline distT="0" distB="0" distL="0" distR="0" wp14:anchorId="3189B798" wp14:editId="0B5512C5">
            <wp:extent cx="1890499" cy="1151033"/>
            <wp:effectExtent l="19050" t="0" r="0" b="0"/>
            <wp:docPr id="2" name="Рисунок 2" descr="D:\2 - РАБОЧАЯ ПАПКА\12 - БИОСЕНСОРЫ\8 - Графеновые биосенсоры ГрПр\Эксперименты\IMG_20161025_17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- РАБОЧАЯ ПАПКА\12 - БИОСЕНСОРЫ\8 - Графеновые биосенсоры ГрПр\Эксперименты\IMG_20161025_172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38959" r="33402" b="15800"/>
                    <a:stretch/>
                  </pic:blipFill>
                  <pic:spPr bwMode="auto">
                    <a:xfrm>
                      <a:off x="0" y="0"/>
                      <a:ext cx="1892113" cy="11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659" w:rsidRDefault="00EB7659" w:rsidP="00EB7659">
      <w:pPr>
        <w:ind w:firstLine="567"/>
        <w:jc w:val="both"/>
        <w:rPr>
          <w:i/>
          <w:sz w:val="24"/>
          <w:szCs w:val="24"/>
        </w:rPr>
      </w:pPr>
      <w:r w:rsidRPr="00D801BA">
        <w:rPr>
          <w:i/>
          <w:sz w:val="24"/>
          <w:szCs w:val="24"/>
        </w:rPr>
        <w:t>Рис</w:t>
      </w:r>
      <w:r>
        <w:rPr>
          <w:i/>
          <w:sz w:val="24"/>
          <w:szCs w:val="24"/>
        </w:rPr>
        <w:t xml:space="preserve">. 1. </w:t>
      </w:r>
      <w:r w:rsidRPr="00D801BA">
        <w:rPr>
          <w:i/>
          <w:sz w:val="24"/>
          <w:szCs w:val="24"/>
        </w:rPr>
        <w:t xml:space="preserve">Модель сенсорной структуры с подвешенной мембраной из оксида графена </w:t>
      </w:r>
      <w:r>
        <w:rPr>
          <w:i/>
          <w:sz w:val="24"/>
          <w:szCs w:val="24"/>
        </w:rPr>
        <w:t>(слева) и вид</w:t>
      </w:r>
      <w:r w:rsidRPr="00D801BA">
        <w:rPr>
          <w:i/>
          <w:sz w:val="24"/>
          <w:szCs w:val="24"/>
        </w:rPr>
        <w:t xml:space="preserve"> заготовки сенсорной структуры с мембраной из </w:t>
      </w:r>
      <w:r>
        <w:rPr>
          <w:i/>
          <w:sz w:val="24"/>
          <w:szCs w:val="24"/>
        </w:rPr>
        <w:t>восстановленного оксида графена</w:t>
      </w:r>
      <w:r w:rsidRPr="00D801BA">
        <w:rPr>
          <w:i/>
          <w:sz w:val="24"/>
          <w:szCs w:val="24"/>
        </w:rPr>
        <w:t>.</w:t>
      </w:r>
    </w:p>
    <w:p w:rsidR="00EB7659" w:rsidRPr="00D801BA" w:rsidRDefault="00EB7659" w:rsidP="00EB7659">
      <w:pPr>
        <w:ind w:firstLine="567"/>
        <w:jc w:val="both"/>
        <w:rPr>
          <w:i/>
          <w:sz w:val="24"/>
          <w:szCs w:val="24"/>
        </w:rPr>
      </w:pPr>
      <w:r w:rsidRPr="00D801BA">
        <w:rPr>
          <w:i/>
          <w:sz w:val="24"/>
          <w:szCs w:val="24"/>
        </w:rPr>
        <w:lastRenderedPageBreak/>
        <w:t xml:space="preserve"> </w:t>
      </w:r>
      <w:r w:rsidRPr="00D801BA">
        <w:rPr>
          <w:i/>
          <w:noProof/>
          <w:sz w:val="24"/>
          <w:szCs w:val="24"/>
        </w:rPr>
        <w:drawing>
          <wp:inline distT="0" distB="0" distL="0" distR="0" wp14:anchorId="59BDCD28" wp14:editId="61745D35">
            <wp:extent cx="3811270" cy="152842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7470" t="37536" r="2988" b="12223"/>
                    <a:stretch/>
                  </pic:blipFill>
                  <pic:spPr bwMode="auto">
                    <a:xfrm>
                      <a:off x="0" y="0"/>
                      <a:ext cx="3812089" cy="152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659" w:rsidRPr="00D801BA" w:rsidRDefault="00EB7659" w:rsidP="00EB7659">
      <w:pPr>
        <w:jc w:val="both"/>
        <w:rPr>
          <w:i/>
          <w:sz w:val="24"/>
          <w:szCs w:val="24"/>
        </w:rPr>
      </w:pPr>
      <w:r w:rsidRPr="00C12247">
        <w:rPr>
          <w:i/>
          <w:sz w:val="24"/>
          <w:szCs w:val="24"/>
        </w:rPr>
        <w:t>Рис</w:t>
      </w:r>
      <w:r>
        <w:rPr>
          <w:i/>
          <w:sz w:val="24"/>
          <w:szCs w:val="24"/>
        </w:rPr>
        <w:t>.</w:t>
      </w:r>
      <w:r w:rsidRPr="00C122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C12247">
        <w:rPr>
          <w:i/>
          <w:sz w:val="24"/>
          <w:szCs w:val="24"/>
        </w:rPr>
        <w:t>. Отклик сенсорной структуры O’12 на экспонирование тромбином. 1 – нанесение капли дистиллированной воды (5 мкл), 2 – нанесение капли раствора тромбина 0,1 мкМ, 3 – нанесение капли раствора тромбина 1 мкМ, 4 – нанесение капли раствора тромбина 10 мкМ, 5 – нанесение капли дистиллированной воды (5 мкл), 6 – нанесение капли раствора тромбина 10 мкМ, 7 – удаление капли раствора.</w:t>
      </w:r>
    </w:p>
    <w:p w:rsidR="00EB7659" w:rsidRPr="00B537E9" w:rsidRDefault="00EB7659" w:rsidP="00EB7659">
      <w:pPr>
        <w:jc w:val="center"/>
        <w:rPr>
          <w:b/>
          <w:sz w:val="24"/>
          <w:szCs w:val="24"/>
        </w:rPr>
      </w:pPr>
      <w:r w:rsidRPr="00B537E9">
        <w:rPr>
          <w:b/>
          <w:sz w:val="24"/>
          <w:szCs w:val="24"/>
        </w:rPr>
        <w:t>Лазерное прямое 3D структурирование и восстановление оксид графеновой пленки на полимерной подложке</w:t>
      </w:r>
    </w:p>
    <w:p w:rsidR="00EB7659" w:rsidRDefault="00EB7659" w:rsidP="00EB7659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ущность:</w:t>
      </w:r>
      <w:r w:rsidRPr="00E00808">
        <w:rPr>
          <w:sz w:val="24"/>
          <w:szCs w:val="24"/>
        </w:rPr>
        <w:t xml:space="preserve"> </w:t>
      </w:r>
      <w:r w:rsidRPr="007D16C1">
        <w:rPr>
          <w:sz w:val="24"/>
          <w:szCs w:val="24"/>
        </w:rPr>
        <w:t xml:space="preserve">Для создания элементов электронных приборов наиболее подходящим методом восстановления является фотовосстановление, поскольку от химического восстановления остаются следы восстановителей, которые невозможно удалить из пленки </w:t>
      </w:r>
      <w:r>
        <w:rPr>
          <w:sz w:val="24"/>
          <w:szCs w:val="24"/>
        </w:rPr>
        <w:t>ОГ</w:t>
      </w:r>
      <w:r w:rsidRPr="007D16C1">
        <w:rPr>
          <w:sz w:val="24"/>
          <w:szCs w:val="24"/>
        </w:rPr>
        <w:t>, что делает его непригодным для приборных структур</w:t>
      </w:r>
      <w:r>
        <w:rPr>
          <w:sz w:val="24"/>
          <w:szCs w:val="24"/>
        </w:rPr>
        <w:t xml:space="preserve">. </w:t>
      </w:r>
    </w:p>
    <w:p w:rsidR="00EB7659" w:rsidRDefault="00EB7659" w:rsidP="00EB7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Новизна:</w:t>
      </w:r>
      <w:r w:rsidRPr="002874CD">
        <w:rPr>
          <w:sz w:val="24"/>
          <w:szCs w:val="24"/>
        </w:rPr>
        <w:t xml:space="preserve">Метод лазерного </w:t>
      </w:r>
      <w:r>
        <w:rPr>
          <w:sz w:val="24"/>
          <w:szCs w:val="24"/>
        </w:rPr>
        <w:t>восстановления подходит для создания электронных приборов на гибких подложках, что является его особенностью и новизной.</w:t>
      </w:r>
    </w:p>
    <w:p w:rsidR="00EB7659" w:rsidRDefault="00EB7659" w:rsidP="00EB7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Значимость:</w:t>
      </w:r>
      <w:r w:rsidRPr="002874CD">
        <w:rPr>
          <w:sz w:val="24"/>
          <w:szCs w:val="24"/>
        </w:rPr>
        <w:t>Лазерн</w:t>
      </w:r>
      <w:r>
        <w:rPr>
          <w:sz w:val="24"/>
          <w:szCs w:val="24"/>
        </w:rPr>
        <w:t xml:space="preserve">ая обработка поверхности позволяет нанести на поверхность оксида графена любой рисунок. </w:t>
      </w:r>
      <w:r>
        <w:rPr>
          <w:b/>
          <w:sz w:val="24"/>
          <w:szCs w:val="24"/>
        </w:rPr>
        <w:t xml:space="preserve"> </w:t>
      </w:r>
    </w:p>
    <w:p w:rsidR="00EB7659" w:rsidRDefault="00EB7659" w:rsidP="00EB7659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Прогноз применения:</w:t>
      </w:r>
      <w:r w:rsidRPr="00E00808">
        <w:rPr>
          <w:sz w:val="24"/>
          <w:szCs w:val="24"/>
        </w:rPr>
        <w:t xml:space="preserve"> </w:t>
      </w:r>
      <w:r w:rsidRPr="006E08FD">
        <w:rPr>
          <w:sz w:val="24"/>
          <w:szCs w:val="24"/>
        </w:rPr>
        <w:t xml:space="preserve">Применение восстановления </w:t>
      </w:r>
      <w:r>
        <w:rPr>
          <w:sz w:val="24"/>
          <w:szCs w:val="24"/>
        </w:rPr>
        <w:t xml:space="preserve">оксида графена </w:t>
      </w:r>
      <w:r w:rsidRPr="006E08FD">
        <w:rPr>
          <w:sz w:val="24"/>
          <w:szCs w:val="24"/>
        </w:rPr>
        <w:t>лазером перспективны для создания элементов электронной техники, сенсорных устройств, в частности аптасенсоров</w:t>
      </w:r>
      <w:r>
        <w:rPr>
          <w:sz w:val="24"/>
          <w:szCs w:val="24"/>
        </w:rPr>
        <w:t>, сенсоров влажности, тензодатчиков и т.д</w:t>
      </w:r>
      <w:r w:rsidRPr="006E08FD">
        <w:rPr>
          <w:sz w:val="24"/>
          <w:szCs w:val="24"/>
        </w:rPr>
        <w:t>.</w:t>
      </w:r>
    </w:p>
    <w:p w:rsidR="00EB7659" w:rsidRDefault="00EB7659" w:rsidP="00EB7659">
      <w:pPr>
        <w:rPr>
          <w:sz w:val="24"/>
          <w:szCs w:val="24"/>
        </w:rPr>
      </w:pPr>
    </w:p>
    <w:p w:rsidR="00EB7659" w:rsidRPr="00B537E9" w:rsidRDefault="00EB7659" w:rsidP="00EB7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Проведено л</w:t>
      </w:r>
      <w:r w:rsidRPr="00B537E9">
        <w:rPr>
          <w:sz w:val="24"/>
          <w:szCs w:val="24"/>
        </w:rPr>
        <w:t xml:space="preserve">азерное прямое структурирование восстановленного </w:t>
      </w:r>
      <w:r>
        <w:rPr>
          <w:sz w:val="24"/>
          <w:szCs w:val="24"/>
        </w:rPr>
        <w:t xml:space="preserve">оксида графена </w:t>
      </w:r>
      <w:r w:rsidRPr="00B537E9">
        <w:rPr>
          <w:sz w:val="24"/>
          <w:szCs w:val="24"/>
        </w:rPr>
        <w:t>с толщиной  от 500 нм на гибкой (ПЭТ) подложке с помощью фемтосекундных импульсов.</w:t>
      </w:r>
      <w:r>
        <w:rPr>
          <w:sz w:val="24"/>
          <w:szCs w:val="24"/>
        </w:rPr>
        <w:t xml:space="preserve"> </w:t>
      </w:r>
      <w:r w:rsidRPr="00B537E9">
        <w:rPr>
          <w:sz w:val="24"/>
          <w:szCs w:val="24"/>
        </w:rPr>
        <w:t xml:space="preserve">Для толстой пленки </w:t>
      </w:r>
      <w:r>
        <w:rPr>
          <w:sz w:val="24"/>
          <w:szCs w:val="24"/>
        </w:rPr>
        <w:t>восстановленного оксида графена существует</w:t>
      </w:r>
      <w:r w:rsidRPr="00B537E9">
        <w:rPr>
          <w:sz w:val="24"/>
          <w:szCs w:val="24"/>
        </w:rPr>
        <w:t xml:space="preserve"> минимальное сопротивление в то время как линейные кристаллические качества возрастает с увеличением плотности энергии лазерного</w:t>
      </w:r>
      <w:r>
        <w:rPr>
          <w:sz w:val="24"/>
          <w:szCs w:val="24"/>
        </w:rPr>
        <w:t xml:space="preserve"> </w:t>
      </w:r>
      <w:r w:rsidRPr="00B537E9">
        <w:rPr>
          <w:sz w:val="24"/>
          <w:szCs w:val="24"/>
        </w:rPr>
        <w:t>излучения.</w:t>
      </w:r>
      <w:r>
        <w:rPr>
          <w:sz w:val="24"/>
          <w:szCs w:val="24"/>
        </w:rPr>
        <w:t xml:space="preserve"> </w:t>
      </w:r>
      <w:r w:rsidRPr="00B537E9">
        <w:rPr>
          <w:sz w:val="24"/>
          <w:szCs w:val="24"/>
        </w:rPr>
        <w:t xml:space="preserve">Лазерное рельефное тиснение </w:t>
      </w:r>
      <w:r>
        <w:rPr>
          <w:sz w:val="24"/>
          <w:szCs w:val="24"/>
        </w:rPr>
        <w:t xml:space="preserve">оксида графена </w:t>
      </w:r>
      <w:r w:rsidRPr="00B537E9">
        <w:rPr>
          <w:sz w:val="24"/>
          <w:szCs w:val="24"/>
        </w:rPr>
        <w:t xml:space="preserve">обеспечивает формирование 3D </w:t>
      </w:r>
      <w:r>
        <w:rPr>
          <w:sz w:val="24"/>
          <w:szCs w:val="24"/>
        </w:rPr>
        <w:t xml:space="preserve">структур </w:t>
      </w:r>
      <w:r w:rsidRPr="00B537E9">
        <w:rPr>
          <w:sz w:val="24"/>
          <w:szCs w:val="24"/>
        </w:rPr>
        <w:t>с соотношением сторон детали как 1:10.</w:t>
      </w:r>
      <w:r>
        <w:rPr>
          <w:sz w:val="24"/>
          <w:szCs w:val="24"/>
        </w:rPr>
        <w:t xml:space="preserve"> </w:t>
      </w:r>
      <w:r w:rsidRPr="00B537E9">
        <w:rPr>
          <w:sz w:val="24"/>
          <w:szCs w:val="24"/>
        </w:rPr>
        <w:t xml:space="preserve"> Показаны двухступенчато лазерно-ндуцированные </w:t>
      </w:r>
      <w:r>
        <w:rPr>
          <w:sz w:val="24"/>
          <w:szCs w:val="24"/>
        </w:rPr>
        <w:t>оксид графеновые структуры</w:t>
      </w:r>
      <w:r w:rsidRPr="00B537E9">
        <w:rPr>
          <w:sz w:val="24"/>
          <w:szCs w:val="24"/>
        </w:rPr>
        <w:t xml:space="preserve"> на полимерных подложках </w:t>
      </w:r>
    </w:p>
    <w:p w:rsidR="00EB7659" w:rsidRDefault="00EB7659" w:rsidP="00EB7659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рис.1 п</w:t>
      </w:r>
      <w:r w:rsidRPr="00B537E9">
        <w:rPr>
          <w:sz w:val="24"/>
          <w:szCs w:val="24"/>
        </w:rPr>
        <w:t xml:space="preserve">родемонстрировано рельефное тиснение оксид графеновой пленки и восстановление </w:t>
      </w:r>
      <w:r>
        <w:rPr>
          <w:sz w:val="24"/>
          <w:szCs w:val="24"/>
        </w:rPr>
        <w:t>оксида графена</w:t>
      </w:r>
      <w:r w:rsidRPr="00B537E9">
        <w:rPr>
          <w:sz w:val="24"/>
          <w:szCs w:val="24"/>
        </w:rPr>
        <w:t xml:space="preserve"> при фемтосекундных лазерных импульсах. Лучшая проводимость при лазерном восстановлении GO пленки 200 Ом / □ была достигнута для фс лазерных импульсов энергии 35-45 ндж и 10-25 импульсов в мкм. Продемонстрирована узорное восстановление лазера над рельефной GO пленкой, которая удерживает его целостность и проводимость. Свойства восстановленных лазером ОГ были изучены </w:t>
      </w:r>
      <w:r>
        <w:rPr>
          <w:sz w:val="24"/>
          <w:szCs w:val="24"/>
        </w:rPr>
        <w:t xml:space="preserve">методами </w:t>
      </w:r>
      <w:r w:rsidRPr="00B537E9">
        <w:rPr>
          <w:sz w:val="24"/>
          <w:szCs w:val="24"/>
        </w:rPr>
        <w:t xml:space="preserve">Раман, </w:t>
      </w:r>
      <w:r>
        <w:rPr>
          <w:sz w:val="24"/>
          <w:szCs w:val="24"/>
        </w:rPr>
        <w:t>СЭМ</w:t>
      </w:r>
      <w:r w:rsidRPr="00B537E9">
        <w:rPr>
          <w:sz w:val="24"/>
          <w:szCs w:val="24"/>
        </w:rPr>
        <w:t xml:space="preserve"> и измерения</w:t>
      </w:r>
      <w:r>
        <w:rPr>
          <w:sz w:val="24"/>
          <w:szCs w:val="24"/>
        </w:rPr>
        <w:t>ми</w:t>
      </w:r>
      <w:r w:rsidRPr="00B537E9">
        <w:rPr>
          <w:sz w:val="24"/>
          <w:szCs w:val="24"/>
        </w:rPr>
        <w:t xml:space="preserve"> сопротивления </w:t>
      </w:r>
      <w:r>
        <w:rPr>
          <w:sz w:val="24"/>
          <w:szCs w:val="24"/>
        </w:rPr>
        <w:t>пленок оксида графена</w:t>
      </w:r>
      <w:r w:rsidRPr="00B537E9">
        <w:rPr>
          <w:sz w:val="24"/>
          <w:szCs w:val="24"/>
        </w:rPr>
        <w:t>.</w:t>
      </w:r>
      <w:r w:rsidRPr="00B537E9">
        <w:rPr>
          <w:sz w:val="24"/>
          <w:szCs w:val="24"/>
        </w:rPr>
        <w:br/>
      </w:r>
      <w:r w:rsidRPr="002874CD">
        <w:rPr>
          <w:noProof/>
          <w:sz w:val="24"/>
          <w:szCs w:val="24"/>
        </w:rPr>
        <w:drawing>
          <wp:inline distT="0" distB="0" distL="0" distR="0" wp14:anchorId="2B8A24DD" wp14:editId="6DB4F3C5">
            <wp:extent cx="3827834" cy="1542984"/>
            <wp:effectExtent l="19050" t="0" r="1216" b="0"/>
            <wp:docPr id="3" name="gabsImg" descr="Image for unlabelled figure">
              <a:hlinkClick xmlns:a="http://schemas.openxmlformats.org/drawingml/2006/main" r:id="rId10" tooltip="&quot;Image for unlabelled fig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sImg" descr="Image for unlabelled figure">
                      <a:hlinkClick r:id="rId10" tooltip="&quot;Image for unlabelled fig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3" cy="154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59" w:rsidRPr="002874CD" w:rsidRDefault="00EB7659" w:rsidP="00EB7659">
      <w:pPr>
        <w:jc w:val="both"/>
        <w:rPr>
          <w:i/>
        </w:rPr>
      </w:pPr>
      <w:r w:rsidRPr="002874CD">
        <w:rPr>
          <w:i/>
        </w:rPr>
        <w:lastRenderedPageBreak/>
        <w:t>Рис</w:t>
      </w:r>
      <w:r>
        <w:rPr>
          <w:i/>
        </w:rPr>
        <w:t>.1</w:t>
      </w:r>
      <w:r w:rsidRPr="002874CD">
        <w:rPr>
          <w:i/>
        </w:rPr>
        <w:t xml:space="preserve">. Схема лазерного тиснения </w:t>
      </w:r>
      <w:r>
        <w:rPr>
          <w:i/>
        </w:rPr>
        <w:t xml:space="preserve">оксид графеновой пленки с помощью фемтосекундного лазера. </w:t>
      </w:r>
      <w:r w:rsidRPr="002874CD">
        <w:rPr>
          <w:i/>
        </w:rPr>
        <w:t>[1]</w:t>
      </w:r>
    </w:p>
    <w:p w:rsidR="00EB7659" w:rsidRPr="00A03929" w:rsidRDefault="00EB7659" w:rsidP="00EB7659">
      <w:pPr>
        <w:pStyle w:val="a8"/>
        <w:numPr>
          <w:ilvl w:val="0"/>
          <w:numId w:val="7"/>
        </w:numPr>
        <w:jc w:val="both"/>
        <w:rPr>
          <w:lang w:val="en-US"/>
        </w:rPr>
      </w:pPr>
      <w:r w:rsidRPr="00A03929">
        <w:rPr>
          <w:lang w:val="en-US"/>
        </w:rPr>
        <w:t>I.I. Bobrinetskiy, A.V. Emelianov, S.A. Smagulova, I.A. Komarov, N. Otero, P.M. Romero. Laser direct 3D patterning and reduction of grapheme oxide film on polymer substrate. Materials Letters 187 (2017) 20-23.</w:t>
      </w:r>
    </w:p>
    <w:p w:rsidR="00EB7659" w:rsidRPr="00C53D4C" w:rsidRDefault="00EB7659" w:rsidP="00EB7659">
      <w:pPr>
        <w:pStyle w:val="a8"/>
        <w:numPr>
          <w:ilvl w:val="0"/>
          <w:numId w:val="7"/>
        </w:numPr>
        <w:jc w:val="center"/>
        <w:rPr>
          <w:b/>
          <w:sz w:val="24"/>
        </w:rPr>
      </w:pPr>
      <w:r w:rsidRPr="00C53D4C">
        <w:rPr>
          <w:b/>
          <w:sz w:val="24"/>
          <w:szCs w:val="24"/>
        </w:rPr>
        <w:t xml:space="preserve">Синтез и исследование свойств </w:t>
      </w:r>
      <w:r>
        <w:rPr>
          <w:b/>
          <w:sz w:val="24"/>
          <w:szCs w:val="24"/>
        </w:rPr>
        <w:t>дисульфида молибдена</w:t>
      </w:r>
      <w:r w:rsidRPr="00C53D4C">
        <w:rPr>
          <w:b/>
          <w:sz w:val="24"/>
          <w:szCs w:val="24"/>
        </w:rPr>
        <w:t xml:space="preserve">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B7659">
        <w:rPr>
          <w:b/>
          <w:sz w:val="24"/>
        </w:rPr>
        <w:t>Сущность:</w:t>
      </w:r>
      <w:r w:rsidRPr="00EB7659">
        <w:rPr>
          <w:sz w:val="24"/>
        </w:rPr>
        <w:t xml:space="preserve"> </w:t>
      </w:r>
      <w:r w:rsidRPr="00EB7659">
        <w:rPr>
          <w:sz w:val="24"/>
          <w:szCs w:val="24"/>
        </w:rPr>
        <w:t>Двухмерные полупроводники, такие как 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, WS</w:t>
      </w:r>
      <w:r w:rsidRPr="00EB7659">
        <w:rPr>
          <w:sz w:val="24"/>
          <w:szCs w:val="24"/>
          <w:vertAlign w:val="subscript"/>
        </w:rPr>
        <w:t xml:space="preserve">2 </w:t>
      </w:r>
      <w:r w:rsidRPr="00EB7659">
        <w:rPr>
          <w:sz w:val="24"/>
          <w:szCs w:val="24"/>
        </w:rPr>
        <w:t>представляют собой новое семейство материалов с широким потенциалом применения в электронике, оптоэлектронике. Дихалькогениды переходных металлов  (MoS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, WS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, WSe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, MoSe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 xml:space="preserve">) являются группой слоистых материалов, которые можно расщепить на монослои. </w:t>
      </w:r>
      <w:r w:rsidRPr="00EB7659">
        <w:rPr>
          <w:sz w:val="24"/>
          <w:szCs w:val="24"/>
          <w:lang w:val="en-US"/>
        </w:rPr>
        <w:t>C</w:t>
      </w:r>
      <w:r w:rsidRPr="00EB7659">
        <w:rPr>
          <w:sz w:val="24"/>
          <w:szCs w:val="24"/>
        </w:rPr>
        <w:t>оздание и исследование вертикальных Ван-дер-Ваальсовых гетероструктур на основе 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, WS</w:t>
      </w:r>
      <w:r w:rsidRPr="00EB7659">
        <w:rPr>
          <w:sz w:val="24"/>
          <w:szCs w:val="24"/>
          <w:vertAlign w:val="subscript"/>
        </w:rPr>
        <w:t xml:space="preserve">2  </w:t>
      </w:r>
      <w:r w:rsidRPr="00EB7659">
        <w:rPr>
          <w:sz w:val="24"/>
          <w:szCs w:val="24"/>
        </w:rPr>
        <w:t>является актуальной задачей.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7659">
        <w:rPr>
          <w:b/>
          <w:sz w:val="24"/>
          <w:szCs w:val="24"/>
        </w:rPr>
        <w:t>Новизна:</w:t>
      </w:r>
      <w:r w:rsidRPr="00EB7659">
        <w:rPr>
          <w:sz w:val="24"/>
          <w:szCs w:val="24"/>
        </w:rPr>
        <w:t xml:space="preserve"> Впервые были синтезированы однослойные пленки дисульфида молибдена химическим методом осаждения из газовой фазы. Однослойные пленки дисульфида являются прямозонными с шириной запрещенной зоны равной 1,8 эВ.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7659">
        <w:rPr>
          <w:b/>
          <w:sz w:val="24"/>
          <w:szCs w:val="24"/>
        </w:rPr>
        <w:t xml:space="preserve">Значимость: </w:t>
      </w:r>
      <w:r w:rsidRPr="00EB7659">
        <w:rPr>
          <w:sz w:val="24"/>
          <w:szCs w:val="24"/>
        </w:rPr>
        <w:t xml:space="preserve">На основе пленок дисульфида молибдена возможно создание вертикальных Ван-дер-Ваальсовых гетероструктур в сочетании с графеновыми пленками.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 w:rsidRPr="00EB7659">
        <w:rPr>
          <w:b/>
          <w:sz w:val="24"/>
          <w:szCs w:val="24"/>
        </w:rPr>
        <w:t>Прогноз применения:</w:t>
      </w:r>
      <w:r w:rsidRPr="00EB7659">
        <w:rPr>
          <w:sz w:val="24"/>
          <w:szCs w:val="24"/>
        </w:rPr>
        <w:t xml:space="preserve">  Гетероструктуры, создаваемые на основе пленок дисульфида молибдена и графена имеют перспективы применения при создании гибких солнечных элементов с высоким коэффициентом полезного действия. </w:t>
      </w:r>
    </w:p>
    <w:p w:rsid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</w:pPr>
      <w:r w:rsidRPr="00EB7659">
        <w:rPr>
          <w:sz w:val="24"/>
          <w:szCs w:val="24"/>
        </w:rPr>
        <w:t>Был проведен синтез пленки 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 xml:space="preserve"> химическим осаждением из газовой фазы (CVD) на поверхность SiO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>. Результаты показали, что оптимальными условиями для роста пленок 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 xml:space="preserve"> на SiO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 xml:space="preserve"> являются количество исходных прекурсоров MoO</w:t>
      </w:r>
      <w:r w:rsidRPr="00EB7659">
        <w:rPr>
          <w:sz w:val="24"/>
          <w:szCs w:val="24"/>
          <w:vertAlign w:val="subscript"/>
        </w:rPr>
        <w:t>3</w:t>
      </w:r>
      <w:r w:rsidRPr="00EB7659">
        <w:rPr>
          <w:sz w:val="24"/>
          <w:szCs w:val="24"/>
        </w:rPr>
        <w:t>, S (1:13), температура 700 С, подача Ar со скоростью 10 см</w:t>
      </w:r>
      <w:r w:rsidRPr="00EB7659">
        <w:rPr>
          <w:sz w:val="24"/>
          <w:szCs w:val="24"/>
          <w:vertAlign w:val="superscript"/>
        </w:rPr>
        <w:t>3</w:t>
      </w:r>
      <w:r w:rsidRPr="00EB7659">
        <w:rPr>
          <w:sz w:val="24"/>
          <w:szCs w:val="24"/>
        </w:rPr>
        <w:t>/мин в течение 30 мин при атмосферном давлении</w:t>
      </w:r>
      <w:r w:rsidRPr="00536998">
        <w:t xml:space="preserve">.  </w:t>
      </w:r>
    </w:p>
    <w:p w:rsidR="00EB7659" w:rsidRDefault="00EB7659" w:rsidP="00EB7659">
      <w:pPr>
        <w:pStyle w:val="a8"/>
        <w:numPr>
          <w:ilvl w:val="0"/>
          <w:numId w:val="7"/>
        </w:numPr>
        <w:jc w:val="center"/>
        <w:rPr>
          <w:noProof/>
        </w:rPr>
      </w:pPr>
      <w:r w:rsidRPr="00172E70">
        <w:rPr>
          <w:noProof/>
        </w:rPr>
        <w:drawing>
          <wp:inline distT="0" distB="0" distL="0" distR="0" wp14:anchorId="27462CB5" wp14:editId="4A2DF418">
            <wp:extent cx="1576070" cy="1285240"/>
            <wp:effectExtent l="19050" t="0" r="5080" b="0"/>
            <wp:docPr id="6" name="Рисунок 1" descr="Image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4" descr="Image_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center"/>
        <w:rPr>
          <w:i/>
          <w:noProof/>
        </w:rPr>
      </w:pPr>
      <w:r w:rsidRPr="00EB7659">
        <w:rPr>
          <w:i/>
          <w:sz w:val="24"/>
          <w:szCs w:val="24"/>
        </w:rPr>
        <w:t>Рис. 1. Изображение треугольных доменов дисульфида с размерами 80 мк</w:t>
      </w:r>
    </w:p>
    <w:p w:rsidR="00EB7659" w:rsidRDefault="00EB7659" w:rsidP="00EB7659">
      <w:pPr>
        <w:pStyle w:val="a8"/>
        <w:numPr>
          <w:ilvl w:val="0"/>
          <w:numId w:val="7"/>
        </w:numPr>
        <w:jc w:val="center"/>
      </w:pPr>
      <w:r w:rsidRPr="00172E70">
        <w:rPr>
          <w:noProof/>
        </w:rPr>
        <w:drawing>
          <wp:inline distT="0" distB="0" distL="0" distR="0" wp14:anchorId="5FFA1C7A" wp14:editId="19235368">
            <wp:extent cx="970280" cy="1247446"/>
            <wp:effectExtent l="19050" t="0" r="127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Рисунок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09" cy="12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E70">
        <w:rPr>
          <w:noProof/>
        </w:rPr>
        <w:drawing>
          <wp:inline distT="0" distB="0" distL="0" distR="0" wp14:anchorId="7B438383" wp14:editId="68192469">
            <wp:extent cx="1508760" cy="1244600"/>
            <wp:effectExtent l="19050" t="0" r="0" b="0"/>
            <wp:docPr id="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Рисунок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91" cy="12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center"/>
        <w:rPr>
          <w:i/>
          <w:sz w:val="24"/>
          <w:szCs w:val="24"/>
        </w:rPr>
      </w:pPr>
      <w:r w:rsidRPr="00EB7659">
        <w:rPr>
          <w:i/>
          <w:sz w:val="24"/>
          <w:szCs w:val="24"/>
        </w:rPr>
        <w:t xml:space="preserve">Рис. 2. Спектры комбинационного рассеяния света однослойного </w:t>
      </w:r>
      <w:r w:rsidRPr="00EB7659">
        <w:rPr>
          <w:i/>
          <w:sz w:val="24"/>
          <w:szCs w:val="24"/>
          <w:lang w:val="en-US"/>
        </w:rPr>
        <w:t>MoS</w:t>
      </w:r>
      <w:r w:rsidRPr="00EB7659">
        <w:rPr>
          <w:i/>
          <w:sz w:val="24"/>
          <w:szCs w:val="24"/>
          <w:vertAlign w:val="subscript"/>
        </w:rPr>
        <w:t>2</w:t>
      </w:r>
      <w:r w:rsidRPr="00EB7659">
        <w:rPr>
          <w:i/>
          <w:sz w:val="24"/>
          <w:szCs w:val="24"/>
        </w:rPr>
        <w:t xml:space="preserve"> (</w:t>
      </w:r>
      <w:r w:rsidRPr="00EB7659">
        <w:rPr>
          <w:i/>
          <w:sz w:val="24"/>
          <w:szCs w:val="24"/>
          <w:lang w:val="en-US"/>
        </w:rPr>
        <w:t>c</w:t>
      </w:r>
      <w:r w:rsidRPr="00EB7659">
        <w:rPr>
          <w:i/>
          <w:sz w:val="24"/>
          <w:szCs w:val="24"/>
        </w:rPr>
        <w:t xml:space="preserve">лева) и двухслойного </w:t>
      </w:r>
      <w:r w:rsidRPr="00EB7659">
        <w:rPr>
          <w:i/>
          <w:sz w:val="24"/>
          <w:szCs w:val="24"/>
          <w:lang w:val="en-US"/>
        </w:rPr>
        <w:t>MoS</w:t>
      </w:r>
      <w:r w:rsidRPr="00EB7659">
        <w:rPr>
          <w:i/>
          <w:sz w:val="24"/>
          <w:szCs w:val="24"/>
          <w:vertAlign w:val="subscript"/>
        </w:rPr>
        <w:t>2</w:t>
      </w:r>
      <w:r w:rsidRPr="00EB7659">
        <w:rPr>
          <w:i/>
          <w:sz w:val="24"/>
          <w:szCs w:val="24"/>
        </w:rPr>
        <w:t xml:space="preserve"> (справа)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Оптическая и сканирующая электронная микроскопия показали рост доменов MoS</w:t>
      </w:r>
      <w:r w:rsidRPr="00EB7659">
        <w:rPr>
          <w:sz w:val="24"/>
          <w:szCs w:val="24"/>
          <w:vertAlign w:val="subscript"/>
        </w:rPr>
        <w:t>2</w:t>
      </w:r>
      <w:r w:rsidRPr="00EB7659">
        <w:rPr>
          <w:sz w:val="24"/>
          <w:szCs w:val="24"/>
        </w:rPr>
        <w:t xml:space="preserve"> в виде треугольников с латеральными размерами до 80 мкм. Анализ спектров КРС показал, что выращенные образцы представляют собой пленки однослойного дисульфида молибдена. По данным атомно-силовой микроскопии толщина пленок составляет 0,8-0,9 нм. Энергодисперсионный рентгеноспектральный микроанализ позволил определить элементный состав образцов - молибден (0,19 ат. %), сера (0,48 ат. %), кремний (28,41 ат. %), кислород (70,91 ат. %).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both"/>
        <w:rPr>
          <w:b/>
          <w:sz w:val="24"/>
          <w:szCs w:val="28"/>
        </w:rPr>
      </w:pPr>
      <w:r w:rsidRPr="00EB7659">
        <w:rPr>
          <w:b/>
          <w:sz w:val="24"/>
          <w:szCs w:val="28"/>
        </w:rPr>
        <w:t>Смагулова УГТ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B7659">
        <w:rPr>
          <w:b/>
          <w:sz w:val="24"/>
          <w:szCs w:val="28"/>
        </w:rPr>
        <w:lastRenderedPageBreak/>
        <w:t>1. Впервые синтезированы и исследованы люминесцирующие углеродные квантовые точки, полученные гидротермальным методом из сажи березовой коры.</w:t>
      </w:r>
      <w:r w:rsidRPr="00C13797">
        <w:t xml:space="preserve"> </w:t>
      </w:r>
      <w:r w:rsidRPr="00EB7659">
        <w:rPr>
          <w:sz w:val="24"/>
          <w:szCs w:val="24"/>
        </w:rPr>
        <w:t>Результаты</w:t>
      </w:r>
      <w:r w:rsidRPr="00EB7659">
        <w:rPr>
          <w:sz w:val="24"/>
          <w:szCs w:val="24"/>
          <w:lang w:val="en-US"/>
        </w:rPr>
        <w:t xml:space="preserve"> </w:t>
      </w:r>
      <w:r w:rsidRPr="00EB7659">
        <w:rPr>
          <w:sz w:val="24"/>
          <w:szCs w:val="24"/>
        </w:rPr>
        <w:t>опубликованы</w:t>
      </w:r>
      <w:r w:rsidRPr="00EB7659">
        <w:rPr>
          <w:sz w:val="24"/>
          <w:szCs w:val="24"/>
          <w:lang w:val="en-US"/>
        </w:rPr>
        <w:t xml:space="preserve"> </w:t>
      </w:r>
      <w:r w:rsidRPr="00EB7659">
        <w:rPr>
          <w:sz w:val="24"/>
          <w:szCs w:val="24"/>
        </w:rPr>
        <w:t>в</w:t>
      </w:r>
      <w:r w:rsidRPr="00EB7659">
        <w:rPr>
          <w:sz w:val="24"/>
          <w:szCs w:val="24"/>
          <w:lang w:val="en-US"/>
        </w:rPr>
        <w:t xml:space="preserve"> </w:t>
      </w:r>
      <w:r w:rsidRPr="00EB7659">
        <w:rPr>
          <w:sz w:val="24"/>
          <w:szCs w:val="24"/>
        </w:rPr>
        <w:t>журналах</w:t>
      </w:r>
      <w:r w:rsidRPr="00EB7659">
        <w:rPr>
          <w:sz w:val="24"/>
          <w:szCs w:val="24"/>
          <w:lang w:val="en-US"/>
        </w:rPr>
        <w:t>: Synthesis of Carbon Dots with Tunable Luminescence. // J Material Sci Eng 2017, 6:5 DOI: 10.4172/2169-0022.1000376; Synthesis of Luminescent N-Doped Carbon Dots by Hydrothermal Treatment //Physica Status Solidi (b). – 2017. – С. 1-5. DOI</w:t>
      </w:r>
      <w:r w:rsidRPr="00EB7659">
        <w:rPr>
          <w:sz w:val="24"/>
          <w:szCs w:val="24"/>
        </w:rPr>
        <w:t>: 10.1002/</w:t>
      </w:r>
      <w:r w:rsidRPr="00EB7659">
        <w:rPr>
          <w:sz w:val="24"/>
          <w:szCs w:val="24"/>
          <w:lang w:val="en-US"/>
        </w:rPr>
        <w:t>pssb</w:t>
      </w:r>
      <w:r w:rsidRPr="00EB7659">
        <w:rPr>
          <w:sz w:val="24"/>
          <w:szCs w:val="24"/>
        </w:rPr>
        <w:t>.201700222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b/>
          <w:sz w:val="24"/>
        </w:rPr>
      </w:pPr>
      <w:r w:rsidRPr="00EB7659">
        <w:rPr>
          <w:b/>
          <w:sz w:val="24"/>
        </w:rPr>
        <w:t xml:space="preserve">Авторы: </w:t>
      </w:r>
      <w:r w:rsidRPr="00EB7659">
        <w:rPr>
          <w:sz w:val="24"/>
        </w:rPr>
        <w:t>Смагулова С.А., Томская А.Е., Егорова М.Н, Капитонов А.Н.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sz w:val="24"/>
        </w:rPr>
      </w:pPr>
      <w:r w:rsidRPr="00EB7659">
        <w:rPr>
          <w:b/>
          <w:sz w:val="24"/>
          <w:szCs w:val="24"/>
        </w:rPr>
        <w:t xml:space="preserve">Область науки: </w:t>
      </w:r>
      <w:r w:rsidRPr="00EB7659">
        <w:rPr>
          <w:sz w:val="24"/>
          <w:szCs w:val="24"/>
        </w:rPr>
        <w:t>Физико-математические науки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 w:rsidRPr="00EB7659">
        <w:rPr>
          <w:b/>
          <w:sz w:val="24"/>
        </w:rPr>
        <w:t>Сущность:</w:t>
      </w:r>
      <w:r w:rsidRPr="00EB7659">
        <w:rPr>
          <w:sz w:val="24"/>
        </w:rPr>
        <w:t xml:space="preserve"> В последнее время наиболее </w:t>
      </w:r>
      <w:r w:rsidRPr="00EB7659">
        <w:rPr>
          <w:sz w:val="24"/>
          <w:szCs w:val="24"/>
        </w:rPr>
        <w:t xml:space="preserve">актуальным становится синтез люминесцирующих квантовых точек на основе углерода, потому что они превосходят традиционные полупроводниковые квантовые точки с точки зрения низкой токсичности, высокой биосовместимости, хорошей химической инертности и растворимости.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7659">
        <w:rPr>
          <w:b/>
          <w:sz w:val="24"/>
          <w:szCs w:val="24"/>
        </w:rPr>
        <w:t>Новизна:</w:t>
      </w:r>
      <w:r w:rsidRPr="00EB7659">
        <w:rPr>
          <w:sz w:val="24"/>
          <w:szCs w:val="24"/>
        </w:rPr>
        <w:t xml:space="preserve"> Впервые синтезированы люминесцирующие квантовые точки из сажи березовой коры гидротермальным методом. Для синтеза углеродных точек (УТ) применялась сажа березовой коры, и дистиллированная вода, которые проходили десятиминутную обработку в автоклаве при температуре 180С.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7659">
        <w:rPr>
          <w:b/>
          <w:sz w:val="24"/>
          <w:szCs w:val="24"/>
        </w:rPr>
        <w:t xml:space="preserve">Значимость: </w:t>
      </w:r>
      <w:r w:rsidRPr="00EB7659">
        <w:rPr>
          <w:sz w:val="24"/>
          <w:szCs w:val="24"/>
        </w:rPr>
        <w:t xml:space="preserve">Метод синтеза углеродных точек из сажи березовой коры характеризуется простотой, быстротой (10 минут синтеза), дешевизной, экологичностью по сравнению с синтезом люминесцирующих графеновых квантовых точек, которые получаются долгим расщеплением (недели) природного графита с применением сильных кислот и ультразвуковой обработки. 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 w:rsidRPr="00EB7659">
        <w:rPr>
          <w:b/>
          <w:sz w:val="24"/>
          <w:szCs w:val="24"/>
        </w:rPr>
        <w:t>Прогноз применения:</w:t>
      </w:r>
      <w:r w:rsidRPr="00BF0929">
        <w:t xml:space="preserve"> </w:t>
      </w:r>
      <w:r w:rsidRPr="00EB7659">
        <w:rPr>
          <w:sz w:val="24"/>
          <w:szCs w:val="24"/>
        </w:rPr>
        <w:t xml:space="preserve">Люминесцирующие углеродные точки в первую очередь интересны для применения в медицине, например, могут работать в качестве эффективных носителей лекарственных средств из-за небольшого размера, биосовместимости и нетоксичности </w:t>
      </w:r>
    </w:p>
    <w:p w:rsidR="00EB7659" w:rsidRP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  <w:rPr>
          <w:sz w:val="24"/>
          <w:szCs w:val="24"/>
        </w:rPr>
      </w:pPr>
      <w:r w:rsidRPr="00EB7659">
        <w:rPr>
          <w:sz w:val="24"/>
          <w:szCs w:val="24"/>
        </w:rPr>
        <w:tab/>
        <w:t xml:space="preserve">Проведен синтез углеродных точек гидротермальным методом, в котором в качестве углеродного прекурсора была взята сажа березовой коры. Определены оптимальные условия синтеза УТ: температура 180С и время 10 минут. Показано, что полученная водная суспензия УТ люминесцирует в зеленой области спектра рис.1 (а). Максимумы пиков люминесценции УТ зависят  от длины волны возбуждения (рис.1 б). </w:t>
      </w:r>
    </w:p>
    <w:p w:rsid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5CC69" wp14:editId="2E7FABC4">
                <wp:simplePos x="0" y="0"/>
                <wp:positionH relativeFrom="column">
                  <wp:posOffset>4450080</wp:posOffset>
                </wp:positionH>
                <wp:positionV relativeFrom="paragraph">
                  <wp:posOffset>38735</wp:posOffset>
                </wp:positionV>
                <wp:extent cx="269875" cy="291465"/>
                <wp:effectExtent l="5715" t="9525" r="1016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9" w:rsidRPr="006402C5" w:rsidRDefault="00EB7659" w:rsidP="00EB7659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C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0.4pt;margin-top:3.05pt;width:21.2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">
                <v:textbox>
                  <w:txbxContent>
                    <w:p w:rsidR="00EB7659" w:rsidRPr="006402C5" w:rsidRDefault="00EB7659" w:rsidP="00EB7659">
                      <w:proofErr w:type="gramStart"/>
                      <w:r>
                        <w:t>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D4CF3" wp14:editId="14AE02D0">
                <wp:simplePos x="0" y="0"/>
                <wp:positionH relativeFrom="column">
                  <wp:posOffset>2928620</wp:posOffset>
                </wp:positionH>
                <wp:positionV relativeFrom="paragraph">
                  <wp:posOffset>47625</wp:posOffset>
                </wp:positionV>
                <wp:extent cx="269875" cy="291465"/>
                <wp:effectExtent l="8255" t="8890" r="762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9" w:rsidRPr="006402C5" w:rsidRDefault="00EB7659" w:rsidP="00EB7659">
                            <w:r w:rsidRPr="006402C5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4CF3" id="Text Box 4" o:spid="_x0000_s1027" type="#_x0000_t202" style="position:absolute;left:0;text-align:left;margin-left:230.6pt;margin-top:3.75pt;width:21.2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">
                <v:textbox>
                  <w:txbxContent>
                    <w:p w:rsidR="00EB7659" w:rsidRPr="006402C5" w:rsidRDefault="00EB7659" w:rsidP="00EB7659">
                      <w:proofErr w:type="gramStart"/>
                      <w:r w:rsidRPr="006402C5">
                        <w:t>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E94D7" wp14:editId="2E90ED8C">
                <wp:simplePos x="0" y="0"/>
                <wp:positionH relativeFrom="column">
                  <wp:posOffset>1276985</wp:posOffset>
                </wp:positionH>
                <wp:positionV relativeFrom="paragraph">
                  <wp:posOffset>47625</wp:posOffset>
                </wp:positionV>
                <wp:extent cx="259715" cy="291465"/>
                <wp:effectExtent l="13970" t="8890" r="12065" b="139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9" w:rsidRPr="006402C5" w:rsidRDefault="00EB7659" w:rsidP="00EB7659">
                            <w:r w:rsidRPr="006402C5"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94D7" id="Text Box 3" o:spid="_x0000_s1028" type="#_x0000_t202" style="position:absolute;left:0;text-align:left;margin-left:100.55pt;margin-top:3.75pt;width:20.4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EKwIAAFc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">
                <v:textbox>
                  <w:txbxContent>
                    <w:p w:rsidR="00EB7659" w:rsidRPr="006402C5" w:rsidRDefault="00EB7659" w:rsidP="00EB7659">
                      <w:proofErr w:type="gramStart"/>
                      <w:r w:rsidRPr="006402C5">
                        <w:t>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EE00" wp14:editId="5DB83D2E">
                <wp:simplePos x="0" y="0"/>
                <wp:positionH relativeFrom="column">
                  <wp:posOffset>639445</wp:posOffset>
                </wp:positionH>
                <wp:positionV relativeFrom="paragraph">
                  <wp:posOffset>47625</wp:posOffset>
                </wp:positionV>
                <wp:extent cx="254635" cy="291465"/>
                <wp:effectExtent l="5080" t="8890" r="698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9" w:rsidRPr="006402C5" w:rsidRDefault="00EB7659" w:rsidP="00EB7659">
                            <w:r w:rsidRPr="006402C5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EE00" id="Text Box 2" o:spid="_x0000_s1029" type="#_x0000_t202" style="position:absolute;left:0;text-align:left;margin-left:50.35pt;margin-top:3.75pt;width:20.0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">
                <v:textbox>
                  <w:txbxContent>
                    <w:p w:rsidR="00EB7659" w:rsidRPr="006402C5" w:rsidRDefault="00EB7659" w:rsidP="00EB7659">
                      <w:proofErr w:type="gramStart"/>
                      <w:r w:rsidRPr="006402C5"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54800">
        <w:rPr>
          <w:noProof/>
        </w:rPr>
        <w:drawing>
          <wp:inline distT="0" distB="0" distL="0" distR="0" wp14:anchorId="000FFCFC" wp14:editId="0068F8E9">
            <wp:extent cx="895350" cy="1487642"/>
            <wp:effectExtent l="19050" t="0" r="0" b="0"/>
            <wp:docPr id="24" name="Рисунок 2" descr="C:\Users\Марфа\Desktop\Новая папка (3)\IMG_270д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Марфа\Desktop\Новая папка (3)\IMG_270д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6" cy="148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800">
        <w:rPr>
          <w:noProof/>
        </w:rPr>
        <w:drawing>
          <wp:inline distT="0" distB="0" distL="0" distR="0" wp14:anchorId="5621C050" wp14:editId="67DB9100">
            <wp:extent cx="1809750" cy="1516935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5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568CE8" wp14:editId="2C688D4E">
            <wp:extent cx="1642261" cy="1496112"/>
            <wp:effectExtent l="19050" t="0" r="0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2" cy="14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E84">
        <w:rPr>
          <w:noProof/>
        </w:rPr>
        <w:drawing>
          <wp:inline distT="0" distB="0" distL="0" distR="0" wp14:anchorId="4201A7E7" wp14:editId="54931618">
            <wp:extent cx="1266706" cy="1484253"/>
            <wp:effectExtent l="19050" t="0" r="0" b="0"/>
            <wp:docPr id="31" name="Рисунок 1" descr="F:\_\Новая папка\КТ_из_глюкозы\289.1 и 289.2 МФ\289.2-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_\Новая папка\КТ_из_глюкозы\289.1 и 289.2 МФ\289.2-5.bmp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7" cy="148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659" w:rsidRPr="00EB7659" w:rsidRDefault="00EB7659" w:rsidP="00EB7659">
      <w:pPr>
        <w:pStyle w:val="a8"/>
        <w:numPr>
          <w:ilvl w:val="0"/>
          <w:numId w:val="7"/>
        </w:numPr>
        <w:rPr>
          <w:i/>
          <w:sz w:val="24"/>
          <w:szCs w:val="24"/>
        </w:rPr>
      </w:pPr>
      <w:r w:rsidRPr="00EB7659">
        <w:rPr>
          <w:i/>
          <w:sz w:val="24"/>
          <w:szCs w:val="24"/>
        </w:rPr>
        <w:t>Рис. 1. а). Свечение УТ из сажи при освещении УФ-светом (</w:t>
      </w:r>
      <w:r w:rsidRPr="00EB7659">
        <w:rPr>
          <w:i/>
          <w:sz w:val="24"/>
          <w:szCs w:val="24"/>
          <w:lang w:val="el-GR"/>
        </w:rPr>
        <w:t>λ</w:t>
      </w:r>
      <w:r w:rsidRPr="00EB7659">
        <w:rPr>
          <w:i/>
          <w:sz w:val="24"/>
          <w:szCs w:val="24"/>
        </w:rPr>
        <w:t>=325 нм, б).  Спектры фотолюминесценции УТ при возбуждении с длинами волн 300, 350, 400 нм, в). АСМ-изображение УТ на подложке SiO</w:t>
      </w:r>
      <w:r w:rsidRPr="00EB7659">
        <w:rPr>
          <w:i/>
          <w:sz w:val="24"/>
          <w:szCs w:val="24"/>
          <w:vertAlign w:val="subscript"/>
        </w:rPr>
        <w:t>2</w:t>
      </w:r>
      <w:r w:rsidRPr="00EB7659">
        <w:rPr>
          <w:i/>
          <w:sz w:val="24"/>
          <w:szCs w:val="24"/>
        </w:rPr>
        <w:t>/Si, г). СЭМ-изображение УТ</w:t>
      </w:r>
    </w:p>
    <w:p w:rsidR="00EB7659" w:rsidRDefault="00EB7659" w:rsidP="00EB7659">
      <w:pPr>
        <w:pStyle w:val="a8"/>
        <w:numPr>
          <w:ilvl w:val="0"/>
          <w:numId w:val="7"/>
        </w:numPr>
        <w:shd w:val="clear" w:color="auto" w:fill="FFFFFF" w:themeFill="background1"/>
        <w:jc w:val="both"/>
      </w:pPr>
      <w:r w:rsidRPr="00EB7659">
        <w:rPr>
          <w:sz w:val="24"/>
          <w:szCs w:val="24"/>
        </w:rPr>
        <w:lastRenderedPageBreak/>
        <w:t>Измерены толщины углеродных точек с помощью атомно-силового микроскопа (АСМ), которые лежат в пределах 0,5 до 1,5 нм (рис.1.в). Латеральные размеры УТ измерены с помощью сканирующего электронного микроскопа (СЭМ) и находятся в пределах 8-22 нм (рис.1 г). Показано, что добавление аммиака в воду с сажей до синтеза существенно увеличивает интенсивность люминесценции. Обнаружена зависимость длины волны люминесценции в зависимости от размеров углеродных точек, при уменьшении размеров УТ пики люминесценции сдвигаются в коротковолновую область. Показана возможность реализации настраиваемой люминесценции путем функционализации поверхности углеродных точек различными молекулами и соединениями.</w:t>
      </w:r>
    </w:p>
    <w:p w:rsidR="00EB7659" w:rsidRPr="00EB7659" w:rsidRDefault="00A7705E" w:rsidP="00EB765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B7659" w:rsidRPr="00EB7659">
        <w:rPr>
          <w:color w:val="FF0000"/>
          <w:sz w:val="24"/>
          <w:szCs w:val="24"/>
        </w:rPr>
        <w:t xml:space="preserve"> </w:t>
      </w:r>
      <w:r w:rsidR="00EB7659" w:rsidRPr="00EB7659">
        <w:rPr>
          <w:b/>
          <w:sz w:val="24"/>
          <w:szCs w:val="24"/>
        </w:rPr>
        <w:t>Структура и кадровый состав.</w:t>
      </w:r>
      <w:r w:rsidR="00EB7659" w:rsidRPr="00EB7659">
        <w:rPr>
          <w:sz w:val="24"/>
          <w:szCs w:val="24"/>
        </w:rPr>
        <w:t xml:space="preserve"> </w:t>
      </w:r>
      <w:r w:rsidR="00EB7659" w:rsidRPr="00EB7659">
        <w:rPr>
          <w:color w:val="000000"/>
          <w:sz w:val="24"/>
          <w:szCs w:val="24"/>
        </w:rPr>
        <w:t xml:space="preserve">В составе </w:t>
      </w:r>
      <w:r w:rsidR="00EB7659" w:rsidRPr="00EB7659">
        <w:rPr>
          <w:sz w:val="24"/>
          <w:szCs w:val="24"/>
        </w:rPr>
        <w:t>Института 8 кафедр;  численность ППС – 69 чел., из них 9 докторов, 31 кандидатов наук, 9 научных сотрудников. Процент остепененности штатного ППС 58%. Средний возраст – 51.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6. </w:t>
      </w:r>
      <w:r w:rsidRPr="00EB7659">
        <w:rPr>
          <w:b/>
          <w:sz w:val="24"/>
          <w:szCs w:val="24"/>
        </w:rPr>
        <w:t xml:space="preserve">Участие ППС в конкурсах ведущих научных программ, грантов и в выполнении хоздоговорных работ. </w:t>
      </w:r>
      <w:r w:rsidRPr="00EB7659">
        <w:rPr>
          <w:sz w:val="24"/>
          <w:szCs w:val="24"/>
        </w:rPr>
        <w:t xml:space="preserve">За 2017 г. сотрудниками ФТИ подано 14 заявок  на грант РФФИ, 2 – на конкурс МОН, 3 – на грант главы РС(Я), 2 – на Фонд содействия развитию МФП, 1 – х/д, 3 – др. гранты. Выиграны 5 грантов РФФИ, 1 х/д. 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>Продолжаются работы по 4 грантам РФФИ (Смагулова С.А, Антонова И.В., Григорьев Ю.М.)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D13B8A">
        <w:rPr>
          <w:sz w:val="24"/>
          <w:szCs w:val="24"/>
        </w:rPr>
        <w:t xml:space="preserve">7. </w:t>
      </w:r>
      <w:r w:rsidRPr="00D13B8A">
        <w:rPr>
          <w:b/>
          <w:sz w:val="24"/>
          <w:szCs w:val="24"/>
        </w:rPr>
        <w:t>Международная деятельность.</w:t>
      </w:r>
      <w:r w:rsidRPr="00D13B8A">
        <w:rPr>
          <w:sz w:val="24"/>
          <w:szCs w:val="24"/>
        </w:rPr>
        <w:t xml:space="preserve"> 36 сотрудника ФТИ приняли участие в 24 международных конференциях, 1 - в организации международной олимпиады.</w:t>
      </w:r>
      <w:r w:rsidRPr="00EB7659">
        <w:rPr>
          <w:sz w:val="24"/>
          <w:szCs w:val="24"/>
        </w:rPr>
        <w:t xml:space="preserve"> 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  <w:lang w:val="bg-BG"/>
        </w:rPr>
      </w:pPr>
      <w:r w:rsidRPr="00EB7659">
        <w:rPr>
          <w:sz w:val="24"/>
          <w:szCs w:val="24"/>
        </w:rPr>
        <w:t xml:space="preserve">8. </w:t>
      </w:r>
      <w:r w:rsidRPr="00EB7659">
        <w:rPr>
          <w:b/>
          <w:sz w:val="24"/>
          <w:szCs w:val="24"/>
        </w:rPr>
        <w:t xml:space="preserve">Подготовка научных кадров. Докторантура, аспирантура. </w:t>
      </w:r>
      <w:r w:rsidRPr="00EB7659">
        <w:rPr>
          <w:sz w:val="24"/>
          <w:szCs w:val="24"/>
        </w:rPr>
        <w:t>Обучаются в аспирантуре 14 чел. под руководством 7 науч. руководителей. 2 (ГЮМ, ЯБВ)</w:t>
      </w:r>
      <w:r w:rsidRPr="00EB7659">
        <w:rPr>
          <w:sz w:val="24"/>
          <w:szCs w:val="24"/>
          <w:lang w:val="bg-BG"/>
        </w:rPr>
        <w:t xml:space="preserve"> человека являются членами 2 диссертационных советов в СВФУ и ИГДС СО РАН. Защищена 1 канд. диссертация (Гололобов А.Ю, каф. РФиЭС).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9. </w:t>
      </w:r>
      <w:r w:rsidRPr="00EB7659">
        <w:rPr>
          <w:b/>
          <w:sz w:val="24"/>
          <w:szCs w:val="24"/>
        </w:rPr>
        <w:t>Публикации</w:t>
      </w:r>
      <w:r w:rsidRPr="00EB7659">
        <w:rPr>
          <w:sz w:val="24"/>
          <w:szCs w:val="24"/>
        </w:rPr>
        <w:t xml:space="preserve">. В 2017 г. опубликованы 1 монография (ЯБВ), 2(ГЮМ)+ сборника научных трудов, 173 статьи (33 – </w:t>
      </w:r>
      <w:r w:rsidRPr="00EB7659">
        <w:rPr>
          <w:sz w:val="24"/>
          <w:szCs w:val="24"/>
          <w:lang w:val="en-US"/>
        </w:rPr>
        <w:t>Web</w:t>
      </w:r>
      <w:r w:rsidRPr="00EB7659">
        <w:rPr>
          <w:sz w:val="24"/>
          <w:szCs w:val="24"/>
        </w:rPr>
        <w:t xml:space="preserve"> </w:t>
      </w:r>
      <w:r w:rsidRPr="00EB7659">
        <w:rPr>
          <w:sz w:val="24"/>
          <w:szCs w:val="24"/>
          <w:lang w:val="en-US"/>
        </w:rPr>
        <w:t>of</w:t>
      </w:r>
      <w:r w:rsidRPr="00EB7659">
        <w:rPr>
          <w:sz w:val="24"/>
          <w:szCs w:val="24"/>
        </w:rPr>
        <w:t xml:space="preserve"> </w:t>
      </w:r>
      <w:r w:rsidRPr="00EB7659">
        <w:rPr>
          <w:sz w:val="24"/>
          <w:szCs w:val="24"/>
          <w:lang w:val="en-US"/>
        </w:rPr>
        <w:t>Science</w:t>
      </w:r>
      <w:r w:rsidRPr="00EB7659">
        <w:rPr>
          <w:sz w:val="24"/>
          <w:szCs w:val="24"/>
        </w:rPr>
        <w:t xml:space="preserve">, 41 – </w:t>
      </w:r>
      <w:r w:rsidRPr="00EB7659">
        <w:rPr>
          <w:sz w:val="24"/>
          <w:szCs w:val="24"/>
          <w:lang w:val="en-US"/>
        </w:rPr>
        <w:t>Scopus</w:t>
      </w:r>
      <w:r w:rsidRPr="00EB7659">
        <w:rPr>
          <w:sz w:val="24"/>
          <w:szCs w:val="24"/>
        </w:rPr>
        <w:t>, 130 – РИНЦ из них 53 ВАК), написано 3 рецензии на статьи в журналах, имеющих ИФ.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10. </w:t>
      </w:r>
      <w:r w:rsidRPr="00EB7659">
        <w:rPr>
          <w:b/>
          <w:sz w:val="24"/>
          <w:szCs w:val="24"/>
        </w:rPr>
        <w:t>Инновационная деятельность</w:t>
      </w:r>
      <w:r w:rsidRPr="00EB7659">
        <w:rPr>
          <w:sz w:val="24"/>
          <w:szCs w:val="24"/>
        </w:rPr>
        <w:t>. В 2017 г. получено 4 патента на изобретение и полезную модель (Александров Г.Н., Смагулова С.А., Степанов В.Е., Наумова К.А., Христофорова С.Е.; Бурянина Н.С., Королюк Ю.Ф.), 1 св-во о гос. рег. программы для ЭВМ (Бурянина Н.С., Королюк Ю.Ф.).</w:t>
      </w:r>
    </w:p>
    <w:p w:rsidR="00EB7659" w:rsidRPr="00EB7659" w:rsidRDefault="00EB7659" w:rsidP="00EB7659">
      <w:pPr>
        <w:jc w:val="both"/>
        <w:rPr>
          <w:sz w:val="24"/>
          <w:szCs w:val="24"/>
        </w:rPr>
      </w:pPr>
      <w:r w:rsidRPr="00D13B8A">
        <w:rPr>
          <w:sz w:val="24"/>
          <w:szCs w:val="24"/>
        </w:rPr>
        <w:t xml:space="preserve">11. </w:t>
      </w:r>
      <w:r w:rsidRPr="00D13B8A">
        <w:rPr>
          <w:b/>
          <w:sz w:val="24"/>
          <w:szCs w:val="24"/>
        </w:rPr>
        <w:t xml:space="preserve">Проведенные научные мероприятия. </w:t>
      </w:r>
      <w:r w:rsidRPr="00D13B8A">
        <w:rPr>
          <w:sz w:val="24"/>
          <w:szCs w:val="24"/>
        </w:rPr>
        <w:t>Сотрудники ФТИ приняли участие в</w:t>
      </w:r>
      <w:r w:rsidRPr="00EB7659">
        <w:rPr>
          <w:sz w:val="24"/>
          <w:szCs w:val="24"/>
        </w:rPr>
        <w:t xml:space="preserve"> организации: Азиатской физической олимпиады, 1 межд. конф., 1 межд. мини-симпозиума, 2 российских, 3 республиканских  олимпиад, 4 олимпиады на базе СВФУ, 6 республиканских конференций, 3 конф. на базе СВФУ.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12. </w:t>
      </w:r>
      <w:r w:rsidRPr="00EB7659">
        <w:rPr>
          <w:b/>
          <w:sz w:val="24"/>
          <w:szCs w:val="24"/>
        </w:rPr>
        <w:t>НИРС.</w:t>
      </w:r>
      <w:r w:rsidRPr="00EB7659">
        <w:rPr>
          <w:sz w:val="24"/>
          <w:szCs w:val="24"/>
        </w:rPr>
        <w:t xml:space="preserve"> Из 700 студентов и 75 магистрантов ФТИ в НИР приняло участие 58%, 3 из них – в оплачиваемой НИР. В ФТИ работают 12 научных студенческих кружков, организованных приказом.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>Стдентами ФТИ опубликовано 166 статей, в том числе 147 в изданиях, идексируемых РИНЦ, 4 – ВАК, 1 –</w:t>
      </w:r>
      <w:r w:rsidRPr="00EB7659">
        <w:rPr>
          <w:sz w:val="24"/>
          <w:szCs w:val="24"/>
          <w:lang w:val="en-US"/>
        </w:rPr>
        <w:t>Scopus</w:t>
      </w:r>
      <w:r w:rsidRPr="00EB7659">
        <w:rPr>
          <w:sz w:val="24"/>
          <w:szCs w:val="24"/>
          <w:lang w:val="sah-RU"/>
        </w:rPr>
        <w:t xml:space="preserve">, 3 – </w:t>
      </w:r>
      <w:r w:rsidRPr="00EB7659">
        <w:rPr>
          <w:sz w:val="24"/>
          <w:szCs w:val="24"/>
          <w:lang w:val="en-US"/>
        </w:rPr>
        <w:t>WoS</w:t>
      </w:r>
      <w:r w:rsidRPr="00EB7659">
        <w:rPr>
          <w:sz w:val="24"/>
          <w:szCs w:val="24"/>
        </w:rPr>
        <w:t xml:space="preserve">. 27 студента ФТИ участвовали в международных конференциях и научных мероприятиях, 18 - в российских, 38 – в республиканских, 10 – в международной выставке-ярмарке. Также более 100 студентов участвовало в различных олимпиадах, в т. ч. 30 в  международных интернет-олимпиадах, 3 в межд. 14 – в российских, 22 – в республиканских 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>18 студентов получают повышенную стипендию за достижения в научно-исследовательской деятельности, 2 – Президента РФ, 5 – Правительства РФ, 6 –ПАО Якутскэнерго.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>3 студента участвуют в финансируемых НИР.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 13. </w:t>
      </w:r>
      <w:r w:rsidRPr="00EB7659">
        <w:rPr>
          <w:b/>
          <w:sz w:val="24"/>
          <w:szCs w:val="24"/>
        </w:rPr>
        <w:t>Тематический план НИР</w:t>
      </w:r>
      <w:r w:rsidRPr="00EB7659">
        <w:rPr>
          <w:sz w:val="24"/>
          <w:szCs w:val="24"/>
        </w:rPr>
        <w:t xml:space="preserve"> </w:t>
      </w:r>
      <w:r w:rsidRPr="00EB7659">
        <w:rPr>
          <w:b/>
          <w:sz w:val="24"/>
          <w:szCs w:val="24"/>
        </w:rPr>
        <w:t>на 2017 г.</w:t>
      </w:r>
      <w:r w:rsidRPr="00EB7659">
        <w:rPr>
          <w:sz w:val="24"/>
          <w:szCs w:val="24"/>
        </w:rPr>
        <w:t xml:space="preserve"> предусматривает выполнение НИР по 4 темам предыдущего года и по 5 новым тематикам примерно в прежних объемах. </w:t>
      </w:r>
    </w:p>
    <w:p w:rsidR="00EB7659" w:rsidRPr="00EB7659" w:rsidRDefault="00EB7659" w:rsidP="00EB7659">
      <w:pPr>
        <w:pStyle w:val="a3"/>
        <w:ind w:firstLine="360"/>
        <w:jc w:val="both"/>
        <w:rPr>
          <w:szCs w:val="24"/>
        </w:rPr>
      </w:pPr>
      <w:r w:rsidRPr="00EB7659">
        <w:rPr>
          <w:szCs w:val="24"/>
        </w:rPr>
        <w:t xml:space="preserve">14. </w:t>
      </w:r>
      <w:r w:rsidRPr="00EB7659">
        <w:rPr>
          <w:b/>
          <w:szCs w:val="24"/>
        </w:rPr>
        <w:t>Имеющиеся недостатки и проблемы:</w:t>
      </w:r>
    </w:p>
    <w:p w:rsidR="00EB7659" w:rsidRPr="00EB7659" w:rsidRDefault="00EB7659" w:rsidP="00EB7659">
      <w:pPr>
        <w:numPr>
          <w:ilvl w:val="0"/>
          <w:numId w:val="1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lastRenderedPageBreak/>
        <w:t>недостаточное число защит диссертаций;</w:t>
      </w:r>
    </w:p>
    <w:p w:rsidR="00EB7659" w:rsidRPr="00EB7659" w:rsidRDefault="00EB7659" w:rsidP="00EB7659">
      <w:pPr>
        <w:numPr>
          <w:ilvl w:val="0"/>
          <w:numId w:val="1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недостаточное участие в международной деятельности;</w:t>
      </w: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</w:p>
    <w:p w:rsidR="00EB7659" w:rsidRPr="00EB7659" w:rsidRDefault="00EB7659" w:rsidP="00EB7659">
      <w:pPr>
        <w:ind w:firstLine="360"/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15. </w:t>
      </w:r>
      <w:r w:rsidRPr="00EB7659">
        <w:rPr>
          <w:b/>
          <w:sz w:val="24"/>
          <w:szCs w:val="24"/>
        </w:rPr>
        <w:t>Задачи</w:t>
      </w:r>
      <w:r w:rsidRPr="00EB7659">
        <w:rPr>
          <w:sz w:val="24"/>
          <w:szCs w:val="24"/>
        </w:rPr>
        <w:t xml:space="preserve"> </w:t>
      </w:r>
      <w:r w:rsidRPr="00EB7659">
        <w:rPr>
          <w:b/>
          <w:sz w:val="24"/>
          <w:szCs w:val="24"/>
        </w:rPr>
        <w:t>на 2018 г.</w:t>
      </w:r>
      <w:r w:rsidRPr="00EB7659">
        <w:rPr>
          <w:sz w:val="24"/>
          <w:szCs w:val="24"/>
        </w:rPr>
        <w:t xml:space="preserve"> </w:t>
      </w:r>
    </w:p>
    <w:p w:rsidR="00EB7659" w:rsidRPr="00EB7659" w:rsidRDefault="00EB7659" w:rsidP="00EB7659">
      <w:pPr>
        <w:numPr>
          <w:ilvl w:val="0"/>
          <w:numId w:val="3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добиться строгого контроля над выполнением планов подготовки аспирантов;</w:t>
      </w:r>
    </w:p>
    <w:p w:rsidR="00EB7659" w:rsidRPr="00EB7659" w:rsidRDefault="00EB7659" w:rsidP="00EB7659">
      <w:pPr>
        <w:numPr>
          <w:ilvl w:val="0"/>
          <w:numId w:val="3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обеспечить выполнение плана защит диссертаций (2 защиты);</w:t>
      </w:r>
    </w:p>
    <w:p w:rsidR="00EB7659" w:rsidRPr="00EB7659" w:rsidRDefault="00EB7659" w:rsidP="00EB7659">
      <w:pPr>
        <w:numPr>
          <w:ilvl w:val="0"/>
          <w:numId w:val="3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 xml:space="preserve">увеличить количество публикаций в изданиях, индексируемых в ВАК и международных базах данных </w:t>
      </w:r>
      <w:r w:rsidRPr="00EB7659">
        <w:rPr>
          <w:sz w:val="24"/>
          <w:szCs w:val="24"/>
          <w:lang w:val="en-US"/>
        </w:rPr>
        <w:t>Scopus</w:t>
      </w:r>
      <w:r w:rsidRPr="00EB7659">
        <w:rPr>
          <w:sz w:val="24"/>
          <w:szCs w:val="24"/>
        </w:rPr>
        <w:t xml:space="preserve">, </w:t>
      </w:r>
      <w:r w:rsidRPr="00EB7659">
        <w:rPr>
          <w:sz w:val="24"/>
          <w:szCs w:val="24"/>
          <w:lang w:val="en-US"/>
        </w:rPr>
        <w:t>Web</w:t>
      </w:r>
      <w:r w:rsidRPr="00EB7659">
        <w:rPr>
          <w:sz w:val="24"/>
          <w:szCs w:val="24"/>
        </w:rPr>
        <w:t xml:space="preserve"> </w:t>
      </w:r>
      <w:r w:rsidRPr="00EB7659">
        <w:rPr>
          <w:sz w:val="24"/>
          <w:szCs w:val="24"/>
          <w:lang w:val="en-US"/>
        </w:rPr>
        <w:t>of</w:t>
      </w:r>
      <w:r w:rsidRPr="00EB7659">
        <w:rPr>
          <w:sz w:val="24"/>
          <w:szCs w:val="24"/>
        </w:rPr>
        <w:t xml:space="preserve"> </w:t>
      </w:r>
      <w:r w:rsidRPr="00EB7659">
        <w:rPr>
          <w:sz w:val="24"/>
          <w:szCs w:val="24"/>
          <w:lang w:val="en-US"/>
        </w:rPr>
        <w:t>Science</w:t>
      </w:r>
      <w:r w:rsidRPr="00EB7659">
        <w:rPr>
          <w:sz w:val="24"/>
          <w:szCs w:val="24"/>
        </w:rPr>
        <w:t>;</w:t>
      </w:r>
    </w:p>
    <w:p w:rsidR="00EB7659" w:rsidRPr="00EB7659" w:rsidRDefault="00EB7659" w:rsidP="00EB7659">
      <w:pPr>
        <w:numPr>
          <w:ilvl w:val="0"/>
          <w:numId w:val="3"/>
        </w:numPr>
        <w:jc w:val="both"/>
        <w:rPr>
          <w:sz w:val="24"/>
          <w:szCs w:val="24"/>
        </w:rPr>
      </w:pPr>
      <w:r w:rsidRPr="00EB7659">
        <w:rPr>
          <w:sz w:val="24"/>
          <w:szCs w:val="24"/>
        </w:rPr>
        <w:t>усилить активное участие ППС, молодых сотрудников и студентов в международных научных мероприятиях и грантах;</w:t>
      </w:r>
    </w:p>
    <w:p w:rsidR="004B188A" w:rsidRPr="00EB7659" w:rsidRDefault="00EB7659" w:rsidP="00D13B8A">
      <w:pPr>
        <w:ind w:left="720"/>
        <w:jc w:val="both"/>
        <w:rPr>
          <w:sz w:val="24"/>
          <w:szCs w:val="24"/>
        </w:rPr>
      </w:pPr>
      <w:r w:rsidRPr="00EB7659">
        <w:rPr>
          <w:b/>
          <w:bCs/>
          <w:color w:val="FFFFFF"/>
          <w:kern w:val="24"/>
          <w:sz w:val="24"/>
          <w:szCs w:val="24"/>
        </w:rPr>
        <w:t xml:space="preserve"> ядерной физики</w:t>
      </w:r>
    </w:p>
    <w:p w:rsidR="00EB7659" w:rsidRPr="00EB7659" w:rsidRDefault="00EB7659">
      <w:pPr>
        <w:rPr>
          <w:sz w:val="24"/>
          <w:szCs w:val="24"/>
        </w:rPr>
      </w:pPr>
    </w:p>
    <w:sectPr w:rsidR="00EB7659" w:rsidRPr="00EB7659" w:rsidSect="00EB7659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B54"/>
    <w:multiLevelType w:val="hybridMultilevel"/>
    <w:tmpl w:val="881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6EC"/>
    <w:multiLevelType w:val="hybridMultilevel"/>
    <w:tmpl w:val="C03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213"/>
    <w:multiLevelType w:val="hybridMultilevel"/>
    <w:tmpl w:val="1AE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5BF"/>
    <w:multiLevelType w:val="hybridMultilevel"/>
    <w:tmpl w:val="E564A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96D8C"/>
    <w:multiLevelType w:val="hybridMultilevel"/>
    <w:tmpl w:val="67F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589A"/>
    <w:multiLevelType w:val="hybridMultilevel"/>
    <w:tmpl w:val="990C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01BE8"/>
    <w:multiLevelType w:val="hybridMultilevel"/>
    <w:tmpl w:val="70C6FFA4"/>
    <w:lvl w:ilvl="0" w:tplc="DA740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9"/>
    <w:rsid w:val="002E6857"/>
    <w:rsid w:val="004B188A"/>
    <w:rsid w:val="00A7705E"/>
    <w:rsid w:val="00D13B8A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3B53-7159-4679-8CB5-C8A4E6B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5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65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59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B7659"/>
    <w:rPr>
      <w:sz w:val="24"/>
    </w:rPr>
  </w:style>
  <w:style w:type="character" w:customStyle="1" w:styleId="a4">
    <w:name w:val="Основной текст Знак"/>
    <w:basedOn w:val="a0"/>
    <w:link w:val="a3"/>
    <w:rsid w:val="00EB7659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B7659"/>
    <w:pPr>
      <w:ind w:firstLine="284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EB7659"/>
    <w:rPr>
      <w:rFonts w:eastAsia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EB7659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B7659"/>
    <w:rPr>
      <w:rFonts w:eastAsia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EB7659"/>
    <w:rPr>
      <w:b/>
      <w:bCs/>
    </w:rPr>
  </w:style>
  <w:style w:type="paragraph" w:styleId="a8">
    <w:name w:val="List Paragraph"/>
    <w:basedOn w:val="a"/>
    <w:link w:val="a9"/>
    <w:uiPriority w:val="34"/>
    <w:qFormat/>
    <w:rsid w:val="00EB7659"/>
    <w:pPr>
      <w:ind w:left="720"/>
      <w:contextualSpacing/>
    </w:pPr>
  </w:style>
  <w:style w:type="character" w:customStyle="1" w:styleId="apple-style-span">
    <w:name w:val="apple-style-span"/>
    <w:rsid w:val="00EB7659"/>
  </w:style>
  <w:style w:type="character" w:customStyle="1" w:styleId="a9">
    <w:name w:val="Абзац списка Знак"/>
    <w:link w:val="a8"/>
    <w:uiPriority w:val="34"/>
    <w:locked/>
    <w:rsid w:val="00EB7659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B7659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EB7659"/>
    <w:pPr>
      <w:spacing w:line="240" w:lineRule="auto"/>
      <w:ind w:firstLine="0"/>
      <w:jc w:val="left"/>
    </w:pPr>
    <w:rPr>
      <w:rFonts w:eastAsiaTheme="minorEastAsia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sciencedirect.com/science/article/pii/S0167577X16316731#fx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2019-03-26T04:09:00Z</dcterms:created>
  <dcterms:modified xsi:type="dcterms:W3CDTF">2019-03-26T04:09:00Z</dcterms:modified>
</cp:coreProperties>
</file>